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7F8DD">
      <w:pPr>
        <w:pStyle w:val="14"/>
        <w:spacing w:line="500" w:lineRule="exact"/>
        <w:ind w:firstLine="0" w:firstLineChars="0"/>
        <w:rPr>
          <w:rFonts w:hint="default" w:eastAsia="黑体"/>
          <w:sz w:val="32"/>
          <w:szCs w:val="32"/>
          <w:lang w:val="en-US"/>
        </w:rPr>
      </w:pPr>
      <w:r>
        <w:rPr>
          <w:rFonts w:hint="eastAsia" w:eastAsia="黑体"/>
          <w:sz w:val="32"/>
          <w:szCs w:val="32"/>
        </w:rPr>
        <w:t>附件</w:t>
      </w:r>
      <w:r>
        <w:rPr>
          <w:rFonts w:hint="eastAsia" w:eastAsia="黑体"/>
          <w:sz w:val="32"/>
          <w:szCs w:val="32"/>
          <w:lang w:val="en-US" w:eastAsia="zh-CN"/>
        </w:rPr>
        <w:t>1：</w:t>
      </w:r>
      <w:bookmarkStart w:id="0" w:name="_GoBack"/>
      <w:bookmarkEnd w:id="0"/>
    </w:p>
    <w:p w14:paraId="7B44649C">
      <w:pPr>
        <w:pStyle w:val="14"/>
        <w:spacing w:before="156" w:beforeLines="50" w:line="500" w:lineRule="exact"/>
        <w:ind w:firstLine="0" w:firstLineChars="0"/>
        <w:jc w:val="center"/>
        <w:rPr>
          <w:rFonts w:hint="eastAsia" w:eastAsia="黑体"/>
          <w:sz w:val="32"/>
          <w:szCs w:val="32"/>
        </w:rPr>
      </w:pPr>
      <w:r>
        <w:rPr>
          <w:rFonts w:hint="eastAsia" w:eastAsia="黑体"/>
          <w:sz w:val="32"/>
          <w:szCs w:val="32"/>
        </w:rPr>
        <w:fldChar w:fldCharType="begin"/>
      </w:r>
      <w:r>
        <w:rPr>
          <w:rFonts w:hint="eastAsia" w:eastAsia="黑体"/>
          <w:sz w:val="32"/>
          <w:szCs w:val="32"/>
        </w:rPr>
        <w:instrText xml:space="preserve"> HYPERLINK "http://www.yousergroup.com/upload/202407/22/2c4cc8f5-4852-4507-8092-333caddbafd5.docx" \t "http://www.yousergroup.com/SubModule/_blank" </w:instrText>
      </w:r>
      <w:r>
        <w:rPr>
          <w:rFonts w:hint="eastAsia" w:eastAsia="黑体"/>
          <w:sz w:val="32"/>
          <w:szCs w:val="32"/>
        </w:rPr>
        <w:fldChar w:fldCharType="separate"/>
      </w:r>
      <w:r>
        <w:rPr>
          <w:rFonts w:hint="eastAsia" w:eastAsia="黑体"/>
          <w:sz w:val="32"/>
          <w:szCs w:val="32"/>
        </w:rPr>
        <w:t>“十二钼酸铵制备新工艺开发及其粉冶特性研究与应用”</w:t>
      </w:r>
    </w:p>
    <w:p w14:paraId="7E3D8393">
      <w:pPr>
        <w:pStyle w:val="14"/>
        <w:spacing w:before="156" w:beforeLines="50" w:line="500" w:lineRule="exact"/>
        <w:ind w:firstLine="0" w:firstLineChars="0"/>
        <w:jc w:val="center"/>
        <w:rPr>
          <w:rFonts w:eastAsia="黑体"/>
          <w:sz w:val="32"/>
          <w:szCs w:val="32"/>
        </w:rPr>
      </w:pPr>
      <w:r>
        <w:rPr>
          <w:rFonts w:hint="eastAsia" w:eastAsia="黑体"/>
          <w:sz w:val="32"/>
          <w:szCs w:val="32"/>
        </w:rPr>
        <w:t>项目公示内容</w:t>
      </w:r>
      <w:r>
        <w:rPr>
          <w:rFonts w:hint="eastAsia" w:eastAsia="黑体"/>
          <w:sz w:val="32"/>
          <w:szCs w:val="32"/>
        </w:rPr>
        <w:fldChar w:fldCharType="end"/>
      </w:r>
    </w:p>
    <w:p w14:paraId="1A7ACF61">
      <w:pPr>
        <w:pStyle w:val="14"/>
        <w:spacing w:line="500" w:lineRule="exact"/>
        <w:ind w:firstLine="0" w:firstLineChars="0"/>
        <w:rPr>
          <w:rFonts w:asciiTheme="majorEastAsia" w:hAnsiTheme="majorEastAsia" w:eastAsiaTheme="majorEastAsia"/>
          <w:b/>
          <w:bCs/>
          <w:sz w:val="36"/>
          <w:szCs w:val="32"/>
        </w:rPr>
      </w:pPr>
    </w:p>
    <w:p w14:paraId="6CF8ACF1">
      <w:pPr>
        <w:keepNext w:val="0"/>
        <w:keepLines w:val="0"/>
        <w:pageBreakBefore w:val="0"/>
        <w:kinsoku/>
        <w:wordWrap/>
        <w:overflowPunct/>
        <w:topLinePunct w:val="0"/>
        <w:bidi w:val="0"/>
        <w:adjustRightInd w:val="0"/>
        <w:snapToGrid w:val="0"/>
        <w:spacing w:line="360" w:lineRule="exact"/>
        <w:textAlignment w:val="auto"/>
        <w:rPr>
          <w:b/>
          <w:bCs/>
          <w:szCs w:val="24"/>
        </w:rPr>
      </w:pPr>
      <w:r>
        <w:rPr>
          <w:b/>
          <w:bCs/>
          <w:szCs w:val="24"/>
        </w:rPr>
        <w:t>一、项目名称</w:t>
      </w:r>
    </w:p>
    <w:p w14:paraId="375D33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lang w:val="en-US" w:eastAsia="zh-CN"/>
        </w:rPr>
        <w:t>十二钼酸铵制备新工艺开发及其粉冶特性研究与应用</w:t>
      </w:r>
    </w:p>
    <w:p w14:paraId="665F036E">
      <w:pPr>
        <w:keepNext w:val="0"/>
        <w:keepLines w:val="0"/>
        <w:pageBreakBefore w:val="0"/>
        <w:kinsoku/>
        <w:wordWrap/>
        <w:overflowPunct/>
        <w:topLinePunct w:val="0"/>
        <w:bidi w:val="0"/>
        <w:spacing w:line="360" w:lineRule="exact"/>
        <w:textAlignment w:val="auto"/>
        <w:rPr>
          <w:b/>
          <w:bCs/>
          <w:szCs w:val="24"/>
        </w:rPr>
      </w:pPr>
      <w:r>
        <w:rPr>
          <w:b/>
          <w:bCs/>
          <w:szCs w:val="24"/>
        </w:rPr>
        <w:t>二、提名单位及意见</w:t>
      </w:r>
    </w:p>
    <w:p w14:paraId="7B4F0876">
      <w:pPr>
        <w:keepNext w:val="0"/>
        <w:keepLines w:val="0"/>
        <w:pageBreakBefore w:val="0"/>
        <w:kinsoku/>
        <w:wordWrap/>
        <w:overflowPunct/>
        <w:topLinePunct w:val="0"/>
        <w:bidi w:val="0"/>
        <w:spacing w:line="360" w:lineRule="exact"/>
        <w:ind w:firstLine="422" w:firstLineChars="200"/>
        <w:textAlignment w:val="auto"/>
        <w:rPr>
          <w:b/>
          <w:bCs/>
          <w:szCs w:val="24"/>
        </w:rPr>
      </w:pPr>
      <w:r>
        <w:rPr>
          <w:b/>
          <w:bCs/>
          <w:szCs w:val="24"/>
        </w:rPr>
        <w:t>提名单位：</w:t>
      </w:r>
      <w:r>
        <w:rPr>
          <w:szCs w:val="24"/>
        </w:rPr>
        <w:t>陕西</w:t>
      </w:r>
      <w:r>
        <w:rPr>
          <w:rFonts w:hint="eastAsia"/>
          <w:szCs w:val="24"/>
        </w:rPr>
        <w:t>有色金属控股集团有限责任公司</w:t>
      </w:r>
    </w:p>
    <w:p w14:paraId="4A3FEABC">
      <w:pPr>
        <w:keepNext w:val="0"/>
        <w:keepLines w:val="0"/>
        <w:pageBreakBefore w:val="0"/>
        <w:kinsoku/>
        <w:wordWrap/>
        <w:overflowPunct/>
        <w:topLinePunct w:val="0"/>
        <w:bidi w:val="0"/>
        <w:spacing w:line="360" w:lineRule="exact"/>
        <w:ind w:firstLine="422" w:firstLineChars="200"/>
        <w:textAlignment w:val="auto"/>
        <w:rPr>
          <w:rFonts w:hint="eastAsia" w:ascii="Times New Roman" w:hAnsi="Times New Roman" w:cs="Times New Roman"/>
          <w:szCs w:val="24"/>
        </w:rPr>
      </w:pPr>
      <w:r>
        <w:rPr>
          <w:b/>
          <w:bCs/>
          <w:szCs w:val="24"/>
        </w:rPr>
        <w:t>提名意见：</w:t>
      </w:r>
      <w:r>
        <w:rPr>
          <w:rFonts w:hint="eastAsia" w:ascii="Times New Roman" w:hAnsi="Times New Roman" w:cs="Times New Roman"/>
          <w:szCs w:val="24"/>
        </w:rPr>
        <w:t>金堆城钼业集团有限公司自筹经费完成《十二钼酸铵制备新工艺开发及其粉冶特性研究与应用》项目，产品纯度及各项性能达到国际先进水平。当前，航空航天、集成电路等战略领域对超纯钼金属需求爆发式增长，其质量直接影响高端装备竞争力；国家《新材料产业发展指南》亦明确推动钼基材料向高纯化、特种功能化、复合化升级。项目锚定行业痛点与政策要求，高纯度十二钼酸铵制备新工艺开发及其粉冶特性研究与应用为切入点，研发出具有完全自主知识产权的高效、短流程、低成本制备工艺，更突破焙解还原易引入杂质、降低纯度的技术壁垒。同时，建成一条十二钼酸铵、高纯钼及钼制品示范性生产线，获 12 件专利，发表</w:t>
      </w:r>
      <w:r>
        <w:rPr>
          <w:rFonts w:hint="eastAsia" w:ascii="Times New Roman" w:hAnsi="Times New Roman" w:cs="Times New Roman"/>
          <w:szCs w:val="24"/>
          <w:lang w:val="en-US" w:eastAsia="zh-CN"/>
        </w:rPr>
        <w:t>科技论文</w:t>
      </w:r>
      <w:r>
        <w:rPr>
          <w:rFonts w:hint="eastAsia" w:ascii="Times New Roman" w:hAnsi="Times New Roman" w:cs="Times New Roman"/>
          <w:szCs w:val="24"/>
        </w:rPr>
        <w:t xml:space="preserve"> 20 篇，科技成果显著。</w:t>
      </w:r>
    </w:p>
    <w:p w14:paraId="31ECD99F">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rPr>
        <w:t>该项目部分研究成果曾获陕西有色控股集团有限责任公司科学技术二等奖。在中国有色金属工业协会组织的科技成果评价会上，评价委员会评价该项目研究成果整体技术达到了国际先进水平。十二钼酸铵产品研制成果近三年累计实现新增销售额45232万元，新增利润13270.11万元，取得了显著经济效益。该项目打破了国外对于钼酸铵、高纯钼及高纯钼制品生产技术和工装设备垄断，实现高纯钼粉、钼制品的国产化量产，保障关键材料供应链自主可控，具有深远的社会效益。</w:t>
      </w:r>
    </w:p>
    <w:p w14:paraId="36F1211F">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rPr>
        <w:t>综上，该项目顺应钼行业高纯化市场需求与国家高质量发展的产业政策导向，科技成果显著，经济和社会效益良好。特推荐为陕西省科学技术三等奖。</w:t>
      </w:r>
    </w:p>
    <w:p w14:paraId="6C5EDE37">
      <w:pPr>
        <w:keepNext w:val="0"/>
        <w:keepLines w:val="0"/>
        <w:pageBreakBefore w:val="0"/>
        <w:kinsoku/>
        <w:wordWrap/>
        <w:overflowPunct/>
        <w:topLinePunct w:val="0"/>
        <w:bidi w:val="0"/>
        <w:adjustRightInd w:val="0"/>
        <w:snapToGrid w:val="0"/>
        <w:spacing w:line="360" w:lineRule="exact"/>
        <w:textAlignment w:val="auto"/>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三、项目简介</w:t>
      </w:r>
    </w:p>
    <w:p w14:paraId="44F99669">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rPr>
        <w:t>十二钼酸铵是一种新型的钼酸铵产品，因其分子中钼</w:t>
      </w:r>
      <w:r>
        <w:rPr>
          <w:rFonts w:hint="eastAsia" w:ascii="Times New Roman" w:hAnsi="Times New Roman" w:cs="Times New Roman"/>
          <w:szCs w:val="24"/>
          <w:lang w:val="en-US" w:eastAsia="zh-CN"/>
        </w:rPr>
        <w:t>原子</w:t>
      </w:r>
      <w:r>
        <w:rPr>
          <w:rFonts w:hint="eastAsia" w:ascii="Times New Roman" w:hAnsi="Times New Roman" w:cs="Times New Roman"/>
          <w:szCs w:val="24"/>
        </w:rPr>
        <w:t>聚合程度高、晶体缺陷少的特点，以及特有的结晶过程控制程度高</w:t>
      </w:r>
      <w:r>
        <w:rPr>
          <w:rFonts w:hint="eastAsia" w:ascii="Times New Roman" w:hAnsi="Times New Roman" w:cs="Times New Roman"/>
          <w:szCs w:val="24"/>
          <w:lang w:val="en-US" w:eastAsia="zh-CN"/>
        </w:rPr>
        <w:t>的</w:t>
      </w:r>
      <w:r>
        <w:rPr>
          <w:rFonts w:hint="eastAsia" w:ascii="Times New Roman" w:hAnsi="Times New Roman" w:cs="Times New Roman"/>
          <w:szCs w:val="24"/>
        </w:rPr>
        <w:t>工艺优势</w:t>
      </w:r>
      <w:r>
        <w:rPr>
          <w:rFonts w:hint="eastAsia" w:ascii="Times New Roman" w:hAnsi="Times New Roman" w:cs="Times New Roman"/>
          <w:szCs w:val="24"/>
          <w:lang w:eastAsia="zh-CN"/>
        </w:rPr>
        <w:t>，</w:t>
      </w:r>
      <w:r>
        <w:rPr>
          <w:rFonts w:hint="eastAsia" w:ascii="Times New Roman" w:hAnsi="Times New Roman" w:cs="Times New Roman"/>
          <w:szCs w:val="24"/>
        </w:rPr>
        <w:t>与常规二钼酸铵及四钼酸铵</w:t>
      </w:r>
      <w:r>
        <w:rPr>
          <w:rFonts w:hint="eastAsia" w:ascii="Times New Roman" w:hAnsi="Times New Roman" w:cs="Times New Roman"/>
          <w:szCs w:val="24"/>
          <w:lang w:val="en-US" w:eastAsia="zh-CN"/>
        </w:rPr>
        <w:t>等</w:t>
      </w:r>
      <w:r>
        <w:rPr>
          <w:rFonts w:hint="eastAsia" w:ascii="Times New Roman" w:hAnsi="Times New Roman" w:cs="Times New Roman"/>
          <w:szCs w:val="24"/>
        </w:rPr>
        <w:t>相比，具有杂质含量低、纯度高、形貌规整等系列优点</w:t>
      </w:r>
      <w:r>
        <w:rPr>
          <w:rFonts w:hint="eastAsia" w:ascii="Times New Roman" w:hAnsi="Times New Roman" w:cs="Times New Roman"/>
          <w:szCs w:val="24"/>
          <w:lang w:eastAsia="zh-CN"/>
        </w:rPr>
        <w:t>，</w:t>
      </w:r>
      <w:r>
        <w:rPr>
          <w:rFonts w:hint="eastAsia" w:ascii="Times New Roman" w:hAnsi="Times New Roman" w:cs="Times New Roman"/>
          <w:szCs w:val="24"/>
        </w:rPr>
        <w:t>是行业内确认的制备电子行业用高纯度钼靶材、钼电极等高端钼制品的最佳原料之一，全球高端钼制品用原料的年需求量约3000吨，且年需求增长率</w:t>
      </w:r>
      <w:r>
        <w:rPr>
          <w:rFonts w:hint="default" w:ascii="Times New Roman" w:hAnsi="Times New Roman" w:cs="Times New Roman"/>
          <w:szCs w:val="24"/>
        </w:rPr>
        <w:t>10%</w:t>
      </w:r>
      <w:r>
        <w:rPr>
          <w:rFonts w:hint="eastAsia" w:ascii="Times New Roman" w:hAnsi="Times New Roman" w:cs="Times New Roman"/>
          <w:szCs w:val="24"/>
        </w:rPr>
        <w:t>以上。</w:t>
      </w:r>
    </w:p>
    <w:p w14:paraId="180A3424">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lang w:val="en-US" w:eastAsia="zh-CN"/>
        </w:rPr>
        <w:t>目前</w:t>
      </w:r>
      <w:r>
        <w:rPr>
          <w:rFonts w:hint="eastAsia" w:ascii="Times New Roman" w:hAnsi="Times New Roman" w:cs="Times New Roman"/>
          <w:szCs w:val="24"/>
        </w:rPr>
        <w:t>国内对十二钼酸铵制备技术研究多以十二钼酸铵结晶机理探索、晶体形貌控制等基础理论研究为主，在工业化生产及应用方面基本空白。因此，十二钼酸铵制备新工艺开发、产业化及其应用成制约国内钼材料工业高纯化发展的主要障碍之一。针对十二钼酸铵制备过程中的</w:t>
      </w:r>
      <w:r>
        <w:rPr>
          <w:rFonts w:hint="eastAsia" w:ascii="Times New Roman" w:hAnsi="Times New Roman" w:cs="Times New Roman"/>
          <w:szCs w:val="24"/>
          <w:lang w:val="en-US" w:eastAsia="zh-CN"/>
        </w:rPr>
        <w:t>高纯化</w:t>
      </w:r>
      <w:r>
        <w:rPr>
          <w:rFonts w:hint="eastAsia" w:ascii="Times New Roman" w:hAnsi="Times New Roman" w:cs="Times New Roman"/>
          <w:szCs w:val="24"/>
          <w:lang w:eastAsia="zh-CN"/>
        </w:rPr>
        <w:t>、</w:t>
      </w:r>
      <w:r>
        <w:rPr>
          <w:rFonts w:hint="eastAsia" w:ascii="Times New Roman" w:hAnsi="Times New Roman" w:cs="Times New Roman"/>
          <w:szCs w:val="24"/>
        </w:rPr>
        <w:t>高效低成本产业化</w:t>
      </w:r>
      <w:r>
        <w:rPr>
          <w:rFonts w:hint="eastAsia" w:ascii="Times New Roman" w:hAnsi="Times New Roman" w:cs="Times New Roman"/>
          <w:szCs w:val="24"/>
          <w:lang w:val="en-US" w:eastAsia="zh-CN"/>
        </w:rPr>
        <w:t>以及焙解、还原防污的</w:t>
      </w:r>
      <w:r>
        <w:rPr>
          <w:rFonts w:hint="eastAsia" w:ascii="Times New Roman" w:hAnsi="Times New Roman" w:cs="Times New Roman"/>
          <w:szCs w:val="24"/>
        </w:rPr>
        <w:t>技术</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产品和十二钼酸铵专业产线空白，金堆城钼业集团有限公司从钼提纯、十二钼酸铵制备工艺、焙解与还原工装防污控制方面进行技术</w:t>
      </w:r>
      <w:r>
        <w:rPr>
          <w:rFonts w:hint="eastAsia" w:ascii="Times New Roman" w:hAnsi="Times New Roman" w:cs="Times New Roman"/>
          <w:szCs w:val="24"/>
        </w:rPr>
        <w:t>攻关，</w:t>
      </w:r>
      <w:r>
        <w:rPr>
          <w:rFonts w:hint="eastAsia" w:ascii="Times New Roman" w:hAnsi="Times New Roman" w:cs="Times New Roman"/>
          <w:szCs w:val="24"/>
          <w:lang w:val="en-US" w:eastAsia="zh-CN"/>
        </w:rPr>
        <w:t>重点解决十二钼酸铵、氧化钼、钼粉的高纯化与工装防污的控制技术难题</w:t>
      </w:r>
      <w:r>
        <w:rPr>
          <w:rFonts w:hint="eastAsia" w:ascii="Times New Roman" w:hAnsi="Times New Roman" w:cs="Times New Roman"/>
          <w:szCs w:val="24"/>
        </w:rPr>
        <w:t xml:space="preserve">。 </w:t>
      </w:r>
    </w:p>
    <w:p w14:paraId="68F995F9">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lang w:eastAsia="zh-CN"/>
        </w:rPr>
      </w:pPr>
      <w:r>
        <w:rPr>
          <w:rFonts w:hint="eastAsia" w:ascii="Times New Roman" w:hAnsi="Times New Roman" w:cs="Times New Roman"/>
          <w:szCs w:val="24"/>
        </w:rPr>
        <w:t>项目突破的关键技术</w:t>
      </w:r>
      <w:r>
        <w:rPr>
          <w:rFonts w:hint="eastAsia" w:ascii="Times New Roman" w:hAnsi="Times New Roman" w:cs="Times New Roman"/>
          <w:szCs w:val="24"/>
          <w:lang w:eastAsia="zh-CN"/>
        </w:rPr>
        <w:t>：</w:t>
      </w:r>
    </w:p>
    <w:p w14:paraId="56B9A177">
      <w:pPr>
        <w:keepNext w:val="0"/>
        <w:keepLines w:val="0"/>
        <w:pageBreakBefore w:val="0"/>
        <w:numPr>
          <w:ilvl w:val="0"/>
          <w:numId w:val="1"/>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eastAsia="zh-CN"/>
        </w:rPr>
      </w:pPr>
      <w:r>
        <w:rPr>
          <w:rFonts w:hint="eastAsia" w:ascii="Times New Roman" w:hAnsi="Times New Roman" w:cs="Times New Roman"/>
          <w:szCs w:val="24"/>
        </w:rPr>
        <w:t>钼原料的</w:t>
      </w:r>
      <w:r>
        <w:rPr>
          <w:rFonts w:hint="eastAsia" w:ascii="Times New Roman" w:hAnsi="Times New Roman" w:cs="Times New Roman"/>
          <w:szCs w:val="24"/>
          <w:lang w:val="en-US" w:eastAsia="zh-CN"/>
        </w:rPr>
        <w:t>高</w:t>
      </w:r>
      <w:r>
        <w:rPr>
          <w:rFonts w:hint="eastAsia" w:ascii="Times New Roman" w:hAnsi="Times New Roman" w:cs="Times New Roman"/>
          <w:szCs w:val="24"/>
        </w:rPr>
        <w:t>纯化技术：</w:t>
      </w:r>
      <w:r>
        <w:rPr>
          <w:rFonts w:hint="eastAsia" w:ascii="Times New Roman" w:hAnsi="Times New Roman" w:cs="Times New Roman"/>
          <w:szCs w:val="24"/>
          <w:lang w:val="en-US" w:eastAsia="zh-CN"/>
        </w:rPr>
        <w:t>采用自主知识产权的钼精矿除硅、钼酸铵溶液深度除钨、除钾技术，</w:t>
      </w:r>
      <w:r>
        <w:rPr>
          <w:rFonts w:hint="eastAsia" w:ascii="Times New Roman" w:hAnsi="Times New Roman" w:cs="Times New Roman"/>
          <w:szCs w:val="24"/>
        </w:rPr>
        <w:t>实现了钼原料的钾含量小于</w:t>
      </w:r>
      <w:r>
        <w:rPr>
          <w:rFonts w:hint="default" w:ascii="Times New Roman" w:hAnsi="Times New Roman" w:cs="Times New Roman"/>
          <w:szCs w:val="24"/>
        </w:rPr>
        <w:t>5ppm</w:t>
      </w:r>
      <w:r>
        <w:rPr>
          <w:rFonts w:hint="eastAsia" w:ascii="Times New Roman" w:hAnsi="Times New Roman" w:cs="Times New Roman"/>
          <w:szCs w:val="24"/>
        </w:rPr>
        <w:t>，硅含量小于</w:t>
      </w:r>
      <w:r>
        <w:rPr>
          <w:rFonts w:hint="default" w:ascii="Times New Roman" w:hAnsi="Times New Roman" w:cs="Times New Roman"/>
          <w:szCs w:val="24"/>
        </w:rPr>
        <w:t>3ppm</w:t>
      </w:r>
      <w:r>
        <w:rPr>
          <w:rFonts w:hint="eastAsia" w:ascii="Times New Roman" w:hAnsi="Times New Roman" w:cs="Times New Roman"/>
          <w:szCs w:val="24"/>
        </w:rPr>
        <w:t>，其他元素指标</w:t>
      </w:r>
      <w:r>
        <w:rPr>
          <w:rFonts w:hint="eastAsia" w:ascii="Times New Roman" w:hAnsi="Times New Roman" w:cs="Times New Roman"/>
          <w:szCs w:val="24"/>
          <w:lang w:val="en-US" w:eastAsia="zh-CN"/>
        </w:rPr>
        <w:t>均实现了</w:t>
      </w:r>
      <w:r>
        <w:rPr>
          <w:rFonts w:hint="eastAsia" w:ascii="Times New Roman" w:hAnsi="Times New Roman" w:cs="Times New Roman"/>
          <w:szCs w:val="24"/>
        </w:rPr>
        <w:t>大幅度降低</w:t>
      </w:r>
      <w:r>
        <w:rPr>
          <w:rFonts w:hint="eastAsia" w:ascii="Times New Roman" w:hAnsi="Times New Roman" w:cs="Times New Roman"/>
          <w:szCs w:val="24"/>
          <w:lang w:eastAsia="zh-CN"/>
        </w:rPr>
        <w:t>；</w:t>
      </w:r>
    </w:p>
    <w:p w14:paraId="63BD3D4C">
      <w:pPr>
        <w:keepNext w:val="0"/>
        <w:keepLines w:val="0"/>
        <w:pageBreakBefore w:val="0"/>
        <w:numPr>
          <w:ilvl w:val="0"/>
          <w:numId w:val="1"/>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rPr>
        <w:t>高效、短流程、低成本十二钼酸铵制备技术：通过十二钼酸铵配比工艺流程</w:t>
      </w:r>
      <w:r>
        <w:rPr>
          <w:rFonts w:hint="eastAsia" w:ascii="Times New Roman" w:hAnsi="Times New Roman" w:cs="Times New Roman"/>
          <w:szCs w:val="24"/>
          <w:lang w:val="en-US" w:eastAsia="zh-CN"/>
        </w:rPr>
        <w:t>系统优化，结合原辅料配比优化</w:t>
      </w:r>
      <w:r>
        <w:rPr>
          <w:rFonts w:hint="eastAsia" w:ascii="Times New Roman" w:hAnsi="Times New Roman" w:cs="Times New Roman"/>
          <w:szCs w:val="24"/>
        </w:rPr>
        <w:t>，实现十二钼酸铵</w:t>
      </w:r>
      <w:r>
        <w:rPr>
          <w:rFonts w:hint="eastAsia" w:ascii="Times New Roman" w:hAnsi="Times New Roman" w:cs="Times New Roman"/>
          <w:szCs w:val="24"/>
          <w:lang w:val="en-US" w:eastAsia="zh-CN"/>
        </w:rPr>
        <w:t>制备流程缩短了30%、工艺时间缩短了50%以上，生产效率提高1倍以上；</w:t>
      </w:r>
    </w:p>
    <w:p w14:paraId="46744F71">
      <w:pPr>
        <w:keepNext w:val="0"/>
        <w:keepLines w:val="0"/>
        <w:pageBreakBefore w:val="0"/>
        <w:numPr>
          <w:ilvl w:val="0"/>
          <w:numId w:val="1"/>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eastAsia="zh-CN"/>
        </w:rPr>
      </w:pPr>
      <w:r>
        <w:rPr>
          <w:rFonts w:hint="eastAsia" w:ascii="Times New Roman" w:hAnsi="Times New Roman" w:cs="Times New Roman"/>
          <w:szCs w:val="24"/>
        </w:rPr>
        <w:t>十二钼酸铵焙解、还原气氛与工装、设备协调控制技术：通过十二钼酸铵焙 解、还原工装、设备的优化以及工艺参数的协调控制，避免了十二钼酸铵焙解、还原工装、设备</w:t>
      </w:r>
      <w:r>
        <w:rPr>
          <w:rFonts w:hint="eastAsia" w:ascii="Times New Roman" w:hAnsi="Times New Roman" w:cs="Times New Roman"/>
          <w:szCs w:val="24"/>
          <w:lang w:val="en-US" w:eastAsia="zh-CN"/>
        </w:rPr>
        <w:t>材质元素</w:t>
      </w:r>
      <w:r>
        <w:rPr>
          <w:rFonts w:hint="eastAsia" w:ascii="Times New Roman" w:hAnsi="Times New Roman" w:cs="Times New Roman"/>
          <w:szCs w:val="24"/>
        </w:rPr>
        <w:t>引入纯氧化钼、钼粉，实现了</w:t>
      </w:r>
      <w:r>
        <w:rPr>
          <w:rFonts w:hint="eastAsia" w:ascii="Times New Roman" w:hAnsi="Times New Roman" w:cs="Times New Roman"/>
          <w:szCs w:val="24"/>
          <w:lang w:val="en-US" w:eastAsia="zh-CN"/>
        </w:rPr>
        <w:t>钼粉制备</w:t>
      </w:r>
      <w:r>
        <w:rPr>
          <w:rFonts w:hint="eastAsia" w:ascii="Times New Roman" w:hAnsi="Times New Roman" w:cs="Times New Roman"/>
          <w:szCs w:val="24"/>
        </w:rPr>
        <w:t>过程防</w:t>
      </w:r>
      <w:r>
        <w:rPr>
          <w:rFonts w:hint="eastAsia" w:ascii="Times New Roman" w:hAnsi="Times New Roman" w:cs="Times New Roman"/>
          <w:szCs w:val="24"/>
          <w:lang w:val="en-US" w:eastAsia="zh-CN"/>
        </w:rPr>
        <w:t>污的</w:t>
      </w:r>
      <w:r>
        <w:rPr>
          <w:rFonts w:hint="eastAsia" w:ascii="Times New Roman" w:hAnsi="Times New Roman" w:cs="Times New Roman"/>
          <w:szCs w:val="24"/>
        </w:rPr>
        <w:t>目的，制备</w:t>
      </w:r>
      <w:r>
        <w:rPr>
          <w:rFonts w:hint="eastAsia" w:ascii="Times New Roman" w:hAnsi="Times New Roman" w:cs="Times New Roman"/>
          <w:szCs w:val="24"/>
          <w:lang w:val="en-US" w:eastAsia="zh-CN"/>
        </w:rPr>
        <w:t>的</w:t>
      </w:r>
      <w:r>
        <w:rPr>
          <w:rFonts w:hint="eastAsia" w:ascii="Times New Roman" w:hAnsi="Times New Roman" w:cs="Times New Roman"/>
          <w:szCs w:val="24"/>
        </w:rPr>
        <w:t>钼粉纯度≥</w:t>
      </w:r>
      <w:r>
        <w:rPr>
          <w:rFonts w:hint="default" w:ascii="Times New Roman" w:hAnsi="Times New Roman" w:cs="Times New Roman"/>
          <w:szCs w:val="24"/>
        </w:rPr>
        <w:t>99.99%</w:t>
      </w:r>
      <w:r>
        <w:rPr>
          <w:rFonts w:hint="eastAsia" w:ascii="Times New Roman" w:hAnsi="Times New Roman" w:cs="Times New Roman"/>
          <w:szCs w:val="24"/>
          <w:lang w:eastAsia="zh-CN"/>
        </w:rPr>
        <w:t>。</w:t>
      </w:r>
    </w:p>
    <w:p w14:paraId="472B598A">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lang w:val="en-US" w:eastAsia="zh-CN"/>
        </w:rPr>
        <w:t>本项目共取得相关</w:t>
      </w:r>
      <w:r>
        <w:rPr>
          <w:rFonts w:hint="eastAsia" w:ascii="Times New Roman" w:hAnsi="Times New Roman" w:cs="Times New Roman"/>
          <w:szCs w:val="24"/>
        </w:rPr>
        <w:t>授权</w:t>
      </w:r>
      <w:r>
        <w:rPr>
          <w:rFonts w:hint="eastAsia" w:ascii="Times New Roman" w:hAnsi="Times New Roman" w:cs="Times New Roman"/>
          <w:szCs w:val="24"/>
          <w:lang w:val="en-US" w:eastAsia="zh-CN"/>
        </w:rPr>
        <w:t>专利12件，</w:t>
      </w:r>
      <w:r>
        <w:rPr>
          <w:rFonts w:hint="eastAsia" w:ascii="Times New Roman" w:hAnsi="Times New Roman" w:cs="Times New Roman"/>
          <w:szCs w:val="24"/>
        </w:rPr>
        <w:t xml:space="preserve">发明专利 </w:t>
      </w:r>
      <w:r>
        <w:rPr>
          <w:rFonts w:hint="eastAsia" w:ascii="Times New Roman" w:hAnsi="Times New Roman" w:cs="Times New Roman"/>
          <w:szCs w:val="24"/>
          <w:lang w:val="en-US" w:eastAsia="zh-CN"/>
        </w:rPr>
        <w:t>9件</w:t>
      </w:r>
      <w:r>
        <w:rPr>
          <w:rFonts w:hint="eastAsia" w:ascii="Times New Roman" w:hAnsi="Times New Roman" w:cs="Times New Roman"/>
          <w:szCs w:val="24"/>
          <w:lang w:eastAsia="zh-CN"/>
        </w:rPr>
        <w:t>，</w:t>
      </w:r>
      <w:r>
        <w:rPr>
          <w:rFonts w:hint="eastAsia" w:ascii="Times New Roman" w:hAnsi="Times New Roman" w:cs="Times New Roman"/>
          <w:szCs w:val="24"/>
        </w:rPr>
        <w:t xml:space="preserve">实用新型专利 </w:t>
      </w:r>
      <w:r>
        <w:rPr>
          <w:rFonts w:hint="eastAsia" w:ascii="Times New Roman" w:hAnsi="Times New Roman" w:cs="Times New Roman"/>
          <w:szCs w:val="24"/>
          <w:lang w:val="en-US" w:eastAsia="zh-CN"/>
        </w:rPr>
        <w:t>3件</w:t>
      </w:r>
      <w:r>
        <w:rPr>
          <w:rFonts w:hint="eastAsia" w:ascii="Times New Roman" w:hAnsi="Times New Roman" w:cs="Times New Roman"/>
          <w:szCs w:val="24"/>
        </w:rPr>
        <w:t>；发表</w:t>
      </w:r>
      <w:r>
        <w:rPr>
          <w:rFonts w:hint="eastAsia" w:ascii="Times New Roman" w:hAnsi="Times New Roman" w:cs="Times New Roman"/>
          <w:szCs w:val="24"/>
          <w:lang w:val="en-US" w:eastAsia="zh-CN"/>
        </w:rPr>
        <w:t>学术</w:t>
      </w:r>
      <w:r>
        <w:rPr>
          <w:rFonts w:hint="eastAsia" w:ascii="Times New Roman" w:hAnsi="Times New Roman" w:cs="Times New Roman"/>
          <w:szCs w:val="24"/>
        </w:rPr>
        <w:t>论文</w:t>
      </w:r>
      <w:r>
        <w:rPr>
          <w:rFonts w:hint="eastAsia" w:ascii="Times New Roman" w:hAnsi="Times New Roman" w:cs="Times New Roman"/>
          <w:szCs w:val="24"/>
          <w:lang w:val="en-US" w:eastAsia="zh-CN"/>
        </w:rPr>
        <w:t>20</w:t>
      </w:r>
      <w:r>
        <w:rPr>
          <w:rFonts w:hint="eastAsia" w:ascii="Times New Roman" w:hAnsi="Times New Roman" w:cs="Times New Roman"/>
          <w:szCs w:val="24"/>
        </w:rPr>
        <w:t xml:space="preserve">篇。 </w:t>
      </w:r>
    </w:p>
    <w:p w14:paraId="0B061E8B">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rPr>
        <w:t xml:space="preserve">本项目开发出的十二钼酸铵制备技术成功推广应用于金堆城钼业股份有限公司进行十二钼酸铵、高纯氧化钼、高纯钼粉、钼棒、钼板生产及销售。利用项目技术生产的高纯钼粉、钼棒、钼板分别得到宝鸡通吉、宝鸡蕴杰等公司批量供货。截至 </w:t>
      </w:r>
      <w:r>
        <w:rPr>
          <w:rFonts w:hint="default" w:ascii="Times New Roman" w:hAnsi="Times New Roman" w:cs="Times New Roman"/>
          <w:szCs w:val="24"/>
        </w:rPr>
        <w:t>202</w:t>
      </w:r>
      <w:r>
        <w:rPr>
          <w:rFonts w:hint="eastAsia" w:ascii="Times New Roman" w:hAnsi="Times New Roman" w:cs="Times New Roman"/>
          <w:szCs w:val="24"/>
          <w:lang w:val="en-US" w:eastAsia="zh-CN"/>
        </w:rPr>
        <w:t>4</w:t>
      </w:r>
      <w:r>
        <w:rPr>
          <w:rFonts w:hint="eastAsia" w:ascii="Times New Roman" w:hAnsi="Times New Roman" w:cs="Times New Roman"/>
          <w:szCs w:val="24"/>
        </w:rPr>
        <w:t>年</w:t>
      </w:r>
      <w:r>
        <w:rPr>
          <w:rFonts w:hint="eastAsia" w:ascii="Times New Roman" w:hAnsi="Times New Roman" w:cs="Times New Roman"/>
          <w:szCs w:val="24"/>
          <w:lang w:val="en-US" w:eastAsia="zh-CN"/>
        </w:rPr>
        <w:t>12</w:t>
      </w:r>
      <w:r>
        <w:rPr>
          <w:rFonts w:hint="eastAsia" w:ascii="Times New Roman" w:hAnsi="Times New Roman" w:cs="Times New Roman"/>
          <w:szCs w:val="24"/>
        </w:rPr>
        <w:t>月，通过本项目技术的应用</w:t>
      </w:r>
      <w:r>
        <w:rPr>
          <w:rFonts w:hint="eastAsia" w:ascii="Times New Roman" w:hAnsi="Times New Roman" w:cs="Times New Roman"/>
          <w:szCs w:val="24"/>
          <w:lang w:eastAsia="zh-CN"/>
        </w:rPr>
        <w:t>，</w:t>
      </w:r>
      <w:r>
        <w:rPr>
          <w:rFonts w:hint="eastAsia" w:ascii="Times New Roman" w:hAnsi="Times New Roman" w:cs="Times New Roman"/>
          <w:szCs w:val="24"/>
        </w:rPr>
        <w:t>金堆城钼业股份有限公司</w:t>
      </w:r>
      <w:r>
        <w:rPr>
          <w:rFonts w:hint="eastAsia" w:ascii="Times New Roman" w:hAnsi="Times New Roman" w:cs="Times New Roman"/>
          <w:szCs w:val="24"/>
          <w:lang w:val="en-US" w:eastAsia="zh-CN"/>
        </w:rPr>
        <w:t>近三年</w:t>
      </w:r>
      <w:r>
        <w:rPr>
          <w:rFonts w:hint="eastAsia" w:ascii="Times New Roman" w:hAnsi="Times New Roman" w:cs="Times New Roman"/>
          <w:szCs w:val="24"/>
        </w:rPr>
        <w:t>已累计实现销售收入</w:t>
      </w:r>
      <w:r>
        <w:rPr>
          <w:rFonts w:hint="eastAsia" w:ascii="Times New Roman" w:hAnsi="Times New Roman" w:cs="Times New Roman"/>
          <w:szCs w:val="24"/>
          <w:lang w:val="en-US" w:eastAsia="zh-CN"/>
        </w:rPr>
        <w:t>45232</w:t>
      </w:r>
      <w:r>
        <w:rPr>
          <w:rFonts w:hint="eastAsia" w:ascii="Times New Roman" w:hAnsi="Times New Roman" w:cs="Times New Roman"/>
          <w:szCs w:val="24"/>
        </w:rPr>
        <w:t>万元</w:t>
      </w:r>
      <w:r>
        <w:rPr>
          <w:rFonts w:hint="eastAsia" w:ascii="Times New Roman" w:hAnsi="Times New Roman" w:cs="Times New Roman"/>
          <w:szCs w:val="24"/>
          <w:lang w:eastAsia="zh-CN"/>
        </w:rPr>
        <w:t>，</w:t>
      </w:r>
      <w:r>
        <w:rPr>
          <w:rFonts w:hint="eastAsia" w:ascii="Times New Roman" w:hAnsi="Times New Roman" w:cs="Times New Roman"/>
          <w:szCs w:val="24"/>
        </w:rPr>
        <w:t>实现利润</w:t>
      </w:r>
      <w:r>
        <w:rPr>
          <w:rFonts w:hint="eastAsia" w:ascii="Times New Roman" w:hAnsi="Times New Roman" w:cs="Times New Roman"/>
          <w:szCs w:val="24"/>
          <w:lang w:val="en-US" w:eastAsia="zh-CN"/>
        </w:rPr>
        <w:t>13270.11</w:t>
      </w:r>
      <w:r>
        <w:rPr>
          <w:rFonts w:hint="eastAsia" w:ascii="Times New Roman" w:hAnsi="Times New Roman" w:cs="Times New Roman"/>
          <w:szCs w:val="24"/>
        </w:rPr>
        <w:t>万元。</w:t>
      </w:r>
    </w:p>
    <w:p w14:paraId="4099E987">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rPr>
      </w:pPr>
      <w:r>
        <w:rPr>
          <w:rFonts w:hint="eastAsia" w:ascii="Times New Roman" w:hAnsi="Times New Roman" w:cs="Times New Roman"/>
          <w:szCs w:val="24"/>
        </w:rPr>
        <w:t>中国有色金属工业协会的鉴定意见：项目技术创新程度高，技术指标先进，整体技术达到国际先进水平，经济及社会效益显著。</w:t>
      </w:r>
    </w:p>
    <w:p w14:paraId="4AEEFEC1">
      <w:pPr>
        <w:keepNext w:val="0"/>
        <w:keepLines w:val="0"/>
        <w:pageBreakBefore w:val="0"/>
        <w:kinsoku/>
        <w:wordWrap/>
        <w:overflowPunct/>
        <w:topLinePunct w:val="0"/>
        <w:bidi w:val="0"/>
        <w:spacing w:line="360" w:lineRule="exact"/>
        <w:textAlignment w:val="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四、客观评价</w:t>
      </w:r>
    </w:p>
    <w:p w14:paraId="3F855C2E">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2021年7月7日，按照 GB/T32003-2015《科技查新技术规范》对《十二钼酸铵制备新工艺开发及其粉冶特性研究与应用》项目在陕西省科学技术情报研究院进行科技查新，作出如下查新结论：“国内外与查新项目所述采用无机酸和钼酸铵制备十二钼酸铵部分类似，但未见明确述及与本项目所述以十二钼酸铵焙解还原制备钼粉技术研究报道”。</w:t>
      </w:r>
    </w:p>
    <w:p w14:paraId="728110D7">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2021年6月23日，由公司组织专家完成了“十二钼酸铵制备新工艺开发及其粉冶特性研究与应用”项目评审验收，验收结论为：项目完成了任务书规定的研究任务和技术指标。验收专家组一致同意通过验收。</w:t>
      </w:r>
    </w:p>
    <w:p w14:paraId="610894C0">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lang w:val="en-US" w:eastAsia="zh-CN"/>
        </w:rPr>
      </w:pPr>
      <w:r>
        <w:rPr>
          <w:rFonts w:hint="default" w:ascii="Times New Roman" w:hAnsi="Times New Roman" w:cs="Times New Roman"/>
          <w:szCs w:val="24"/>
          <w:lang w:val="en-US" w:eastAsia="zh-CN"/>
        </w:rPr>
        <w:t xml:space="preserve">2021 </w:t>
      </w:r>
      <w:r>
        <w:rPr>
          <w:rFonts w:hint="eastAsia" w:ascii="Times New Roman" w:hAnsi="Times New Roman" w:cs="Times New Roman"/>
          <w:szCs w:val="24"/>
          <w:lang w:val="en-US" w:eastAsia="zh-CN"/>
        </w:rPr>
        <w:t xml:space="preserve">年 </w:t>
      </w:r>
      <w:r>
        <w:rPr>
          <w:rFonts w:hint="default" w:ascii="Times New Roman" w:hAnsi="Times New Roman" w:cs="Times New Roman"/>
          <w:szCs w:val="24"/>
          <w:lang w:val="en-US" w:eastAsia="zh-CN"/>
        </w:rPr>
        <w:t xml:space="preserve">7 </w:t>
      </w:r>
      <w:r>
        <w:rPr>
          <w:rFonts w:hint="eastAsia" w:ascii="Times New Roman" w:hAnsi="Times New Roman" w:cs="Times New Roman"/>
          <w:szCs w:val="24"/>
          <w:lang w:val="en-US" w:eastAsia="zh-CN"/>
        </w:rPr>
        <w:t xml:space="preserve">月 </w:t>
      </w:r>
      <w:r>
        <w:rPr>
          <w:rFonts w:hint="default" w:ascii="Times New Roman" w:hAnsi="Times New Roman" w:cs="Times New Roman"/>
          <w:szCs w:val="24"/>
          <w:lang w:val="en-US" w:eastAsia="zh-CN"/>
        </w:rPr>
        <w:t xml:space="preserve">9 </w:t>
      </w:r>
      <w:r>
        <w:rPr>
          <w:rFonts w:hint="eastAsia" w:ascii="Times New Roman" w:hAnsi="Times New Roman" w:cs="Times New Roman"/>
          <w:szCs w:val="24"/>
          <w:lang w:val="en-US" w:eastAsia="zh-CN"/>
        </w:rPr>
        <w:t>日，由中国有色金属工业协会组织专家完成了本项目涉及的“十二钼酸铵制备新工艺开发及其粉冶特性研究与应用”科学技术成果鉴定。主要鉴定意见为：</w:t>
      </w:r>
    </w:p>
    <w:p w14:paraId="5D55810B">
      <w:pPr>
        <w:keepNext w:val="0"/>
        <w:keepLines w:val="0"/>
        <w:pageBreakBefore w:val="0"/>
        <w:numPr>
          <w:ilvl w:val="0"/>
          <w:numId w:val="2"/>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开发了高纯度十二钼酸铵新工艺技术和高纯钼粉制备技术，提高了钼粉、钼电极、钼靶材纯度，缩短了了工艺流程，降低了钼酸铵杂质，显著提高了金属回收率及成品率，减少了生产成本，技术创新程度高；</w:t>
      </w:r>
    </w:p>
    <w:p w14:paraId="4FFBBADD">
      <w:pPr>
        <w:keepNext w:val="0"/>
        <w:keepLines w:val="0"/>
        <w:pageBreakBefore w:val="0"/>
        <w:numPr>
          <w:ilvl w:val="0"/>
          <w:numId w:val="2"/>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 xml:space="preserve">制备的高纯钼酸铵纯度大于 </w:t>
      </w:r>
      <w:r>
        <w:rPr>
          <w:rFonts w:hint="default" w:ascii="Times New Roman" w:hAnsi="Times New Roman" w:cs="Times New Roman"/>
          <w:szCs w:val="24"/>
          <w:lang w:val="en-US" w:eastAsia="zh-CN"/>
        </w:rPr>
        <w:t>99.995%</w:t>
      </w:r>
      <w:r>
        <w:rPr>
          <w:rFonts w:hint="eastAsia" w:ascii="Times New Roman" w:hAnsi="Times New Roman" w:cs="Times New Roman"/>
          <w:szCs w:val="24"/>
          <w:lang w:val="en-US" w:eastAsia="zh-CN"/>
        </w:rPr>
        <w:t xml:space="preserve">，晶体形貌显六棱柱状，高纯钼粉纯度大于 </w:t>
      </w:r>
      <w:r>
        <w:rPr>
          <w:rFonts w:hint="default" w:ascii="Times New Roman" w:hAnsi="Times New Roman" w:cs="Times New Roman"/>
          <w:szCs w:val="24"/>
          <w:lang w:val="en-US" w:eastAsia="zh-CN"/>
        </w:rPr>
        <w:t>99.99%</w:t>
      </w:r>
      <w:r>
        <w:rPr>
          <w:rFonts w:hint="eastAsia" w:ascii="Times New Roman" w:hAnsi="Times New Roman" w:cs="Times New Roman"/>
          <w:szCs w:val="24"/>
          <w:lang w:val="en-US" w:eastAsia="zh-CN"/>
        </w:rPr>
        <w:t>，技术指标先进；</w:t>
      </w:r>
    </w:p>
    <w:p w14:paraId="65BD1BF6">
      <w:pPr>
        <w:keepNext w:val="0"/>
        <w:keepLines w:val="0"/>
        <w:pageBreakBefore w:val="0"/>
        <w:numPr>
          <w:ilvl w:val="0"/>
          <w:numId w:val="2"/>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该成果涉及钼酸铵净化、十二钼酸铵合成、焙解、还原高纯钼粉、制备高纯钼制品等相关技术难题，开发高纯度十二钼酸铵和高纯度钼粉制备技术，技术难度大，复杂程度高；</w:t>
      </w:r>
    </w:p>
    <w:p w14:paraId="57CD303D">
      <w:pPr>
        <w:keepNext w:val="0"/>
        <w:keepLines w:val="0"/>
        <w:pageBreakBefore w:val="0"/>
        <w:numPr>
          <w:ilvl w:val="0"/>
          <w:numId w:val="2"/>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 xml:space="preserve">该成果在 </w:t>
      </w:r>
      <w:r>
        <w:rPr>
          <w:rFonts w:hint="default" w:ascii="Times New Roman" w:hAnsi="Times New Roman" w:cs="Times New Roman"/>
          <w:szCs w:val="24"/>
          <w:lang w:val="en-US" w:eastAsia="zh-CN"/>
        </w:rPr>
        <w:t xml:space="preserve">2017 </w:t>
      </w:r>
      <w:r>
        <w:rPr>
          <w:rFonts w:hint="eastAsia" w:ascii="Times New Roman" w:hAnsi="Times New Roman" w:cs="Times New Roman"/>
          <w:szCs w:val="24"/>
          <w:lang w:val="en-US" w:eastAsia="zh-CN"/>
        </w:rPr>
        <w:t xml:space="preserve">年 </w:t>
      </w:r>
      <w:r>
        <w:rPr>
          <w:rFonts w:hint="default" w:ascii="Times New Roman" w:hAnsi="Times New Roman" w:cs="Times New Roman"/>
          <w:szCs w:val="24"/>
          <w:lang w:val="en-US" w:eastAsia="zh-CN"/>
        </w:rPr>
        <w:t xml:space="preserve">5 </w:t>
      </w:r>
      <w:r>
        <w:rPr>
          <w:rFonts w:hint="eastAsia" w:ascii="Times New Roman" w:hAnsi="Times New Roman" w:cs="Times New Roman"/>
          <w:szCs w:val="24"/>
          <w:lang w:val="en-US" w:eastAsia="zh-CN"/>
        </w:rPr>
        <w:t xml:space="preserve">月在金堆城钼业股份有限公司实现了工业化设生产，累计生产高纯钼金属 </w:t>
      </w:r>
      <w:r>
        <w:rPr>
          <w:rFonts w:hint="default" w:ascii="Times New Roman" w:hAnsi="Times New Roman" w:cs="Times New Roman"/>
          <w:szCs w:val="24"/>
          <w:lang w:val="en-US" w:eastAsia="zh-CN"/>
        </w:rPr>
        <w:t xml:space="preserve">300 </w:t>
      </w:r>
      <w:r>
        <w:rPr>
          <w:rFonts w:hint="eastAsia" w:ascii="Times New Roman" w:hAnsi="Times New Roman" w:cs="Times New Roman"/>
          <w:szCs w:val="24"/>
          <w:lang w:val="en-US" w:eastAsia="zh-CN"/>
        </w:rPr>
        <w:t>余吨，生产运行稳定、技术指标先进，重现性好，成熟度高。促进了钼酸铵结晶技术、纯化技术升级，加速了钼粉、钼制品换代，满足市场对高纯钼酸铵日益增长的需求，增强了企业的市场竞争力；</w:t>
      </w:r>
    </w:p>
    <w:p w14:paraId="2A37C64A">
      <w:pPr>
        <w:keepNext w:val="0"/>
        <w:keepLines w:val="0"/>
        <w:pageBreakBefore w:val="0"/>
        <w:numPr>
          <w:ilvl w:val="0"/>
          <w:numId w:val="2"/>
        </w:numPr>
        <w:kinsoku/>
        <w:wordWrap/>
        <w:overflowPunct/>
        <w:topLinePunct w:val="0"/>
        <w:bidi w:val="0"/>
        <w:spacing w:line="360" w:lineRule="exact"/>
        <w:ind w:left="0" w:leftChars="0"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 xml:space="preserve">项目2018、2019、2020三年累计实现销售收入 </w:t>
      </w:r>
      <w:r>
        <w:rPr>
          <w:rFonts w:hint="default" w:ascii="Times New Roman" w:hAnsi="Times New Roman" w:cs="Times New Roman"/>
          <w:szCs w:val="24"/>
          <w:lang w:val="en-US" w:eastAsia="zh-CN"/>
        </w:rPr>
        <w:t xml:space="preserve">1.67 </w:t>
      </w:r>
      <w:r>
        <w:rPr>
          <w:rFonts w:hint="eastAsia" w:ascii="Times New Roman" w:hAnsi="Times New Roman" w:cs="Times New Roman"/>
          <w:szCs w:val="24"/>
          <w:lang w:val="en-US" w:eastAsia="zh-CN"/>
        </w:rPr>
        <w:t xml:space="preserve">亿元，实现利润 </w:t>
      </w:r>
      <w:r>
        <w:rPr>
          <w:rFonts w:hint="default" w:ascii="Times New Roman" w:hAnsi="Times New Roman" w:cs="Times New Roman"/>
          <w:szCs w:val="24"/>
          <w:lang w:val="en-US" w:eastAsia="zh-CN"/>
        </w:rPr>
        <w:t xml:space="preserve">3968.31 </w:t>
      </w:r>
      <w:r>
        <w:rPr>
          <w:rFonts w:hint="eastAsia" w:ascii="Times New Roman" w:hAnsi="Times New Roman" w:cs="Times New Roman"/>
          <w:szCs w:val="24"/>
          <w:lang w:val="en-US" w:eastAsia="zh-CN"/>
        </w:rPr>
        <w:t>万元，实现了高端钼产品的国产化，经济及社会效益显著。</w:t>
      </w:r>
    </w:p>
    <w:p w14:paraId="45A1148D">
      <w:pPr>
        <w:keepNext w:val="0"/>
        <w:keepLines w:val="0"/>
        <w:pageBreakBefore w:val="0"/>
        <w:numPr>
          <w:ilvl w:val="0"/>
          <w:numId w:val="0"/>
        </w:numPr>
        <w:kinsoku/>
        <w:wordWrap/>
        <w:overflowPunct/>
        <w:topLinePunct w:val="0"/>
        <w:bidi w:val="0"/>
        <w:spacing w:line="360" w:lineRule="exact"/>
        <w:ind w:leftChars="200"/>
        <w:textAlignment w:val="auto"/>
        <w:rPr>
          <w:rFonts w:hint="eastAsia" w:ascii="Times New Roman" w:hAnsi="Times New Roman" w:cs="Times New Roman"/>
          <w:color w:val="000000" w:themeColor="text1"/>
          <w:szCs w:val="24"/>
          <w:lang w:val="en-US" w:eastAsia="zh-CN"/>
          <w14:textFill>
            <w14:solidFill>
              <w14:schemeClr w14:val="tx1"/>
            </w14:solidFill>
          </w14:textFill>
        </w:rPr>
      </w:pPr>
      <w:r>
        <w:rPr>
          <w:rFonts w:hint="eastAsia" w:ascii="Times New Roman" w:hAnsi="Times New Roman" w:cs="Times New Roman"/>
          <w:szCs w:val="24"/>
          <w:lang w:val="en-US" w:eastAsia="zh-CN"/>
        </w:rPr>
        <w:t xml:space="preserve">依据以上结论，评价委员会评价该项目成果整体技术达到国际先进水平。 </w:t>
      </w:r>
    </w:p>
    <w:p w14:paraId="713A0DE1">
      <w:pPr>
        <w:keepNext w:val="0"/>
        <w:keepLines w:val="0"/>
        <w:pageBreakBefore w:val="0"/>
        <w:kinsoku/>
        <w:wordWrap/>
        <w:overflowPunct/>
        <w:topLinePunct w:val="0"/>
        <w:bidi w:val="0"/>
        <w:spacing w:line="360" w:lineRule="exact"/>
        <w:textAlignment w:val="auto"/>
        <w:rPr>
          <w:b/>
          <w:bCs/>
          <w:color w:val="000000" w:themeColor="text1"/>
          <w:kern w:val="0"/>
          <w:szCs w:val="24"/>
          <w14:textFill>
            <w14:solidFill>
              <w14:schemeClr w14:val="tx1"/>
            </w14:solidFill>
          </w14:textFill>
        </w:rPr>
      </w:pPr>
      <w:r>
        <w:rPr>
          <w:rFonts w:hint="eastAsia"/>
          <w:b/>
          <w:bCs/>
          <w:color w:val="000000" w:themeColor="text1"/>
          <w:kern w:val="0"/>
          <w:szCs w:val="24"/>
          <w14:textFill>
            <w14:solidFill>
              <w14:schemeClr w14:val="tx1"/>
            </w14:solidFill>
          </w14:textFill>
        </w:rPr>
        <w:t>五</w:t>
      </w:r>
      <w:r>
        <w:rPr>
          <w:b/>
          <w:bCs/>
          <w:color w:val="000000" w:themeColor="text1"/>
          <w:kern w:val="0"/>
          <w:szCs w:val="24"/>
          <w14:textFill>
            <w14:solidFill>
              <w14:schemeClr w14:val="tx1"/>
            </w14:solidFill>
          </w14:textFill>
        </w:rPr>
        <w:t>、推广应用情况</w:t>
      </w:r>
    </w:p>
    <w:p w14:paraId="496DC3AF">
      <w:pPr>
        <w:keepNext w:val="0"/>
        <w:keepLines w:val="0"/>
        <w:pageBreakBefore w:val="0"/>
        <w:kinsoku/>
        <w:wordWrap/>
        <w:overflowPunct/>
        <w:topLinePunct w:val="0"/>
        <w:bidi w:val="0"/>
        <w:spacing w:line="360" w:lineRule="exact"/>
        <w:ind w:firstLine="420" w:firstLineChars="200"/>
        <w:textAlignment w:val="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十二钼酸铵制备新工艺开发及其粉冶特性研究与应用》项目突破的钼精矿除硅技术、钼酸铵降钾技术、高纯十二钼酸铵制备技术、十二钼酸铵还原制备高纯钼粉技术及高纯钼电极、钼靶材技术自2017年起主要应用于金堆城钼业股份有限公司进行十二钼酸铵、高纯氧化钼、高纯钼粉、高纯钼电极及高纯钼靶材等产品的生产和销售。截至2024年12月，2022年、2023年以及2024年近三年已累计实现销售额</w:t>
      </w:r>
      <w:r>
        <w:rPr>
          <w:rFonts w:hint="default" w:ascii="Times New Roman" w:hAnsi="Times New Roman" w:eastAsia="宋体" w:cs="Times New Roman"/>
          <w:color w:val="000000"/>
          <w:kern w:val="0"/>
          <w:sz w:val="24"/>
          <w:szCs w:val="24"/>
          <w:lang w:val="en-US" w:eastAsia="zh-CN" w:bidi="ar"/>
        </w:rPr>
        <w:t>45232</w:t>
      </w:r>
      <w:r>
        <w:rPr>
          <w:rFonts w:hint="eastAsia" w:ascii="Times New Roman" w:hAnsi="Times New Roman" w:cs="Times New Roman"/>
          <w:szCs w:val="24"/>
          <w:lang w:val="en-US" w:eastAsia="zh-CN"/>
        </w:rPr>
        <w:t>万元，实现利润</w:t>
      </w:r>
      <w:r>
        <w:rPr>
          <w:rFonts w:hint="default" w:ascii="Times New Roman" w:hAnsi="Times New Roman" w:eastAsia="宋体" w:cs="Times New Roman"/>
          <w:color w:val="000000"/>
          <w:kern w:val="0"/>
          <w:sz w:val="24"/>
          <w:szCs w:val="24"/>
          <w:lang w:val="en-US" w:eastAsia="zh-CN" w:bidi="ar"/>
        </w:rPr>
        <w:t>13270.11</w:t>
      </w:r>
      <w:r>
        <w:rPr>
          <w:rFonts w:hint="eastAsia" w:ascii="Times New Roman" w:hAnsi="Times New Roman" w:cs="Times New Roman"/>
          <w:szCs w:val="24"/>
          <w:lang w:val="en-US" w:eastAsia="zh-CN"/>
        </w:rPr>
        <w:t>万元，产生了良好的经济效益。</w:t>
      </w:r>
    </w:p>
    <w:p w14:paraId="0FA0C897">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十二钼酸铵制备新工艺开发及其粉冶特性研究与应用》项目遵循国家产业政策导向，符合有色行业对钼冶金及钼深加工技术开发的政策要求。项目对于钼高纯化制备技术壁垒的突破以及高纯十二钼酸铵、高纯钼粉及高纯钼生产线的建设，打破了国外对于高纯钼酸铵、高纯钼粉及高纯钼制品的生产技术和工装设备垄断。项目掌握的高纯十二钼酸铵、高纯钼粉及高纯钼制品制备技术，一方面填补了国内无专业生产高纯十二钼酸铵、高纯钼粉及高纯钼制品的技术和产品空白，打破了高纯十二钼酸铵、高纯钼粉、高纯钼电极等钼产品长期依赖国外进口的局面，实现了进口产品的替代，进一步巩固了应用单位金堆城钼业股份有限公司中国钼行业的龙头地位及中国钼行业在世界钼产业领域的先进科技水平；另一方面，通过部分替代进口高纯钼粉、高纯钼制品等产品，大幅降低了国内高纯钼粉、高纯钼制品生产企业的原材料成本以及未来国内电子、光伏等企业的原料成本，提高这些产品在国际市场上的竞争力。同时，项目建设完成的十二钼酸铵、高纯氧化钼、高纯钼粉及高纯钼制品生产线，在钼行业有着及其重要的示范作用和意义。随着钼高纯化制备关键技术的突破，钼金属的应用领域进一步拓宽，有力促进了中国钼企业逐步由初级原料型向高附加值深加工型转变，进一步推动了中国钼冶金、钼深加工产业的快速发展。</w:t>
      </w:r>
    </w:p>
    <w:p w14:paraId="386D3416">
      <w:pPr>
        <w:keepNext w:val="0"/>
        <w:keepLines w:val="0"/>
        <w:pageBreakBefore w:val="0"/>
        <w:numPr>
          <w:ilvl w:val="0"/>
          <w:numId w:val="3"/>
        </w:numPr>
        <w:kinsoku/>
        <w:wordWrap/>
        <w:overflowPunct/>
        <w:topLinePunct w:val="0"/>
        <w:bidi w:val="0"/>
        <w:spacing w:line="360" w:lineRule="exact"/>
        <w:textAlignment w:val="auto"/>
        <w:rPr>
          <w:b/>
          <w:bCs/>
          <w:color w:val="000000" w:themeColor="text1"/>
          <w:kern w:val="0"/>
          <w:szCs w:val="24"/>
          <w14:textFill>
            <w14:solidFill>
              <w14:schemeClr w14:val="tx1"/>
            </w14:solidFill>
          </w14:textFill>
        </w:rPr>
      </w:pPr>
      <w:r>
        <w:rPr>
          <w:b/>
          <w:bCs/>
          <w:color w:val="000000" w:themeColor="text1"/>
          <w:kern w:val="0"/>
          <w:szCs w:val="24"/>
          <w14:textFill>
            <w14:solidFill>
              <w14:schemeClr w14:val="tx1"/>
            </w14:solidFill>
          </w14:textFill>
        </w:rPr>
        <w:t>主要知识产权</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6"/>
        <w:gridCol w:w="709"/>
        <w:gridCol w:w="1573"/>
        <w:gridCol w:w="700"/>
        <w:gridCol w:w="1061"/>
        <w:gridCol w:w="913"/>
        <w:gridCol w:w="917"/>
        <w:gridCol w:w="1004"/>
        <w:gridCol w:w="1623"/>
      </w:tblGrid>
      <w:tr w14:paraId="743F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1C215FF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序号</w:t>
            </w:r>
          </w:p>
        </w:tc>
        <w:tc>
          <w:tcPr>
            <w:tcW w:w="709" w:type="dxa"/>
            <w:vAlign w:val="center"/>
          </w:tcPr>
          <w:p w14:paraId="16E8B47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知识产权类别</w:t>
            </w:r>
          </w:p>
        </w:tc>
        <w:tc>
          <w:tcPr>
            <w:tcW w:w="1573" w:type="dxa"/>
            <w:vAlign w:val="center"/>
          </w:tcPr>
          <w:p w14:paraId="759EF96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知识产权发明人具体名称</w:t>
            </w:r>
          </w:p>
        </w:tc>
        <w:tc>
          <w:tcPr>
            <w:tcW w:w="700" w:type="dxa"/>
            <w:vAlign w:val="center"/>
          </w:tcPr>
          <w:p w14:paraId="0C6FDC1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国家（地区）</w:t>
            </w:r>
          </w:p>
        </w:tc>
        <w:tc>
          <w:tcPr>
            <w:tcW w:w="1061" w:type="dxa"/>
            <w:vAlign w:val="center"/>
          </w:tcPr>
          <w:p w14:paraId="7558D39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授权号（标准编号）</w:t>
            </w:r>
          </w:p>
        </w:tc>
        <w:tc>
          <w:tcPr>
            <w:tcW w:w="913" w:type="dxa"/>
            <w:vAlign w:val="center"/>
          </w:tcPr>
          <w:p w14:paraId="6B7F74B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授权（标准发布）日期</w:t>
            </w:r>
          </w:p>
        </w:tc>
        <w:tc>
          <w:tcPr>
            <w:tcW w:w="917" w:type="dxa"/>
            <w:vAlign w:val="center"/>
          </w:tcPr>
          <w:p w14:paraId="4D8B143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证书编号</w:t>
            </w:r>
          </w:p>
        </w:tc>
        <w:tc>
          <w:tcPr>
            <w:tcW w:w="1004" w:type="dxa"/>
            <w:vAlign w:val="center"/>
          </w:tcPr>
          <w:p w14:paraId="240A2DDA">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权利人</w:t>
            </w:r>
          </w:p>
        </w:tc>
        <w:tc>
          <w:tcPr>
            <w:tcW w:w="1623" w:type="dxa"/>
            <w:vAlign w:val="center"/>
          </w:tcPr>
          <w:p w14:paraId="4C241B9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完成人</w:t>
            </w:r>
          </w:p>
        </w:tc>
      </w:tr>
      <w:tr w14:paraId="325B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4086E40A">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w:t>
            </w:r>
          </w:p>
        </w:tc>
        <w:tc>
          <w:tcPr>
            <w:tcW w:w="709" w:type="dxa"/>
            <w:vAlign w:val="center"/>
          </w:tcPr>
          <w:p w14:paraId="6FB043A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748C104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一种降低辉钼矿中钾元素和钨元素含量的方法</w:t>
            </w:r>
          </w:p>
        </w:tc>
        <w:tc>
          <w:tcPr>
            <w:tcW w:w="700" w:type="dxa"/>
            <w:vAlign w:val="center"/>
          </w:tcPr>
          <w:p w14:paraId="19AF210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05857D58">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201811570970.X</w:t>
            </w:r>
          </w:p>
        </w:tc>
        <w:tc>
          <w:tcPr>
            <w:tcW w:w="913" w:type="dxa"/>
            <w:vAlign w:val="center"/>
          </w:tcPr>
          <w:p w14:paraId="739732D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21</w:t>
            </w:r>
            <w:r>
              <w:rPr>
                <w:rFonts w:hint="default" w:ascii="Times New Roman" w:hAnsi="Times New Roman" w:cs="Times New Roman" w:eastAsiaTheme="minorEastAsia"/>
                <w:color w:val="000000"/>
                <w:sz w:val="18"/>
                <w:szCs w:val="18"/>
              </w:rPr>
              <w:t>年</w:t>
            </w:r>
          </w:p>
          <w:p w14:paraId="35B952F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0</w:t>
            </w:r>
            <w:r>
              <w:rPr>
                <w:rFonts w:hint="default" w:ascii="Times New Roman" w:hAnsi="Times New Roman" w:cs="Times New Roman" w:eastAsiaTheme="minorEastAsia"/>
                <w:color w:val="000000"/>
                <w:sz w:val="18"/>
                <w:szCs w:val="18"/>
                <w:lang w:val="en-US" w:eastAsia="zh-CN"/>
              </w:rPr>
              <w:t>7</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日</w:t>
            </w:r>
          </w:p>
        </w:tc>
        <w:tc>
          <w:tcPr>
            <w:tcW w:w="917" w:type="dxa"/>
            <w:vAlign w:val="center"/>
          </w:tcPr>
          <w:p w14:paraId="6303021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4586333</w:t>
            </w:r>
          </w:p>
        </w:tc>
        <w:tc>
          <w:tcPr>
            <w:tcW w:w="1004" w:type="dxa"/>
            <w:vAlign w:val="center"/>
          </w:tcPr>
          <w:p w14:paraId="5CFA11C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42E727E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唐丽霞，厉学武，刘东新，魏改莉，徐芳苓，张舒嘉</w:t>
            </w:r>
          </w:p>
        </w:tc>
      </w:tr>
      <w:tr w14:paraId="227E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7F5B8A78">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709" w:type="dxa"/>
            <w:vAlign w:val="center"/>
          </w:tcPr>
          <w:p w14:paraId="3CD3272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79171D1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一种钼精矿除硅的方法</w:t>
            </w:r>
          </w:p>
        </w:tc>
        <w:tc>
          <w:tcPr>
            <w:tcW w:w="700" w:type="dxa"/>
            <w:vAlign w:val="center"/>
          </w:tcPr>
          <w:p w14:paraId="7D74C52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中国</w:t>
            </w:r>
          </w:p>
        </w:tc>
        <w:tc>
          <w:tcPr>
            <w:tcW w:w="1061" w:type="dxa"/>
            <w:vAlign w:val="center"/>
          </w:tcPr>
          <w:p w14:paraId="4B33452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ZL201610133950.0</w:t>
            </w:r>
          </w:p>
        </w:tc>
        <w:tc>
          <w:tcPr>
            <w:tcW w:w="913" w:type="dxa"/>
            <w:vAlign w:val="center"/>
          </w:tcPr>
          <w:p w14:paraId="0545478A">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2017年</w:t>
            </w:r>
          </w:p>
          <w:p w14:paraId="6FD604F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12</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26</w:t>
            </w:r>
            <w:r>
              <w:rPr>
                <w:rFonts w:hint="default" w:ascii="Times New Roman" w:hAnsi="Times New Roman" w:cs="Times New Roman" w:eastAsiaTheme="minorEastAsia"/>
                <w:color w:val="000000"/>
                <w:sz w:val="18"/>
                <w:szCs w:val="18"/>
              </w:rPr>
              <w:t>日</w:t>
            </w:r>
          </w:p>
        </w:tc>
        <w:tc>
          <w:tcPr>
            <w:tcW w:w="917" w:type="dxa"/>
            <w:vAlign w:val="center"/>
          </w:tcPr>
          <w:p w14:paraId="0B11421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2752260</w:t>
            </w:r>
          </w:p>
        </w:tc>
        <w:tc>
          <w:tcPr>
            <w:tcW w:w="1004" w:type="dxa"/>
            <w:vAlign w:val="center"/>
          </w:tcPr>
          <w:p w14:paraId="5ADA7D6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金堆城钼业股份有限公司</w:t>
            </w:r>
          </w:p>
        </w:tc>
        <w:tc>
          <w:tcPr>
            <w:tcW w:w="1623" w:type="dxa"/>
            <w:vAlign w:val="center"/>
          </w:tcPr>
          <w:p w14:paraId="5EB913B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厉学武，陈丽娟，崔玉青，罗建海，俞国庆，李卫昌，刘东新，王磊</w:t>
            </w:r>
          </w:p>
        </w:tc>
      </w:tr>
      <w:tr w14:paraId="0D2F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312A7C9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709" w:type="dxa"/>
            <w:vAlign w:val="center"/>
          </w:tcPr>
          <w:p w14:paraId="1CA2C69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340F59F8">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一种钼酸盐中微量钨的去除方法</w:t>
            </w:r>
          </w:p>
        </w:tc>
        <w:tc>
          <w:tcPr>
            <w:tcW w:w="700" w:type="dxa"/>
            <w:vAlign w:val="center"/>
          </w:tcPr>
          <w:p w14:paraId="0C8B73C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中国</w:t>
            </w:r>
          </w:p>
        </w:tc>
        <w:tc>
          <w:tcPr>
            <w:tcW w:w="1061" w:type="dxa"/>
            <w:vAlign w:val="center"/>
          </w:tcPr>
          <w:p w14:paraId="41A8A77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ZL202010453032.2</w:t>
            </w:r>
          </w:p>
        </w:tc>
        <w:tc>
          <w:tcPr>
            <w:tcW w:w="913" w:type="dxa"/>
            <w:vAlign w:val="center"/>
          </w:tcPr>
          <w:p w14:paraId="0B2EF69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2022年</w:t>
            </w:r>
          </w:p>
          <w:p w14:paraId="2A2FE94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11月18日</w:t>
            </w:r>
          </w:p>
        </w:tc>
        <w:tc>
          <w:tcPr>
            <w:tcW w:w="917" w:type="dxa"/>
            <w:vAlign w:val="center"/>
          </w:tcPr>
          <w:p w14:paraId="61426C7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5593924</w:t>
            </w:r>
          </w:p>
        </w:tc>
        <w:tc>
          <w:tcPr>
            <w:tcW w:w="1004" w:type="dxa"/>
            <w:vAlign w:val="center"/>
          </w:tcPr>
          <w:p w14:paraId="7BC4C70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金堆城钼业股份有限公司</w:t>
            </w:r>
          </w:p>
        </w:tc>
        <w:tc>
          <w:tcPr>
            <w:tcW w:w="1623" w:type="dxa"/>
            <w:vAlign w:val="center"/>
          </w:tcPr>
          <w:p w14:paraId="3A750A8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唐军利</w:t>
            </w:r>
          </w:p>
        </w:tc>
      </w:tr>
      <w:tr w14:paraId="5999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53FCA43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4</w:t>
            </w:r>
          </w:p>
        </w:tc>
        <w:tc>
          <w:tcPr>
            <w:tcW w:w="709" w:type="dxa"/>
            <w:vAlign w:val="center"/>
          </w:tcPr>
          <w:p w14:paraId="101B30A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42F32B1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一种三氧化钼溅射靶材、制备方法以及靶材模具</w:t>
            </w:r>
          </w:p>
        </w:tc>
        <w:tc>
          <w:tcPr>
            <w:tcW w:w="700" w:type="dxa"/>
            <w:vAlign w:val="center"/>
          </w:tcPr>
          <w:p w14:paraId="29D83D9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75026FC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202210392190.0</w:t>
            </w:r>
          </w:p>
        </w:tc>
        <w:tc>
          <w:tcPr>
            <w:tcW w:w="913" w:type="dxa"/>
            <w:vAlign w:val="center"/>
          </w:tcPr>
          <w:p w14:paraId="3FC7DE6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24</w:t>
            </w:r>
            <w:r>
              <w:rPr>
                <w:rFonts w:hint="default" w:ascii="Times New Roman" w:hAnsi="Times New Roman" w:cs="Times New Roman" w:eastAsiaTheme="minorEastAsia"/>
                <w:color w:val="000000"/>
                <w:sz w:val="18"/>
                <w:szCs w:val="18"/>
              </w:rPr>
              <w:t>年</w:t>
            </w:r>
          </w:p>
          <w:p w14:paraId="7D72A21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0</w:t>
            </w:r>
            <w:r>
              <w:rPr>
                <w:rFonts w:hint="default" w:ascii="Times New Roman" w:hAnsi="Times New Roman" w:cs="Times New Roman" w:eastAsiaTheme="minorEastAsia"/>
                <w:color w:val="000000"/>
                <w:sz w:val="18"/>
                <w:szCs w:val="18"/>
                <w:lang w:val="en-US" w:eastAsia="zh-CN"/>
              </w:rPr>
              <w:t>4</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日</w:t>
            </w:r>
          </w:p>
        </w:tc>
        <w:tc>
          <w:tcPr>
            <w:tcW w:w="917" w:type="dxa"/>
            <w:vAlign w:val="center"/>
          </w:tcPr>
          <w:p w14:paraId="5E4E441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6950316</w:t>
            </w:r>
          </w:p>
        </w:tc>
        <w:tc>
          <w:tcPr>
            <w:tcW w:w="1004" w:type="dxa"/>
            <w:vAlign w:val="center"/>
          </w:tcPr>
          <w:p w14:paraId="26DE362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7772F38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席莎，崔玉青，周莎，朱琦，杨秦莉，张晓，李晶</w:t>
            </w:r>
          </w:p>
        </w:tc>
      </w:tr>
      <w:tr w14:paraId="23A1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540902F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5</w:t>
            </w:r>
          </w:p>
        </w:tc>
        <w:tc>
          <w:tcPr>
            <w:tcW w:w="709" w:type="dxa"/>
            <w:vAlign w:val="center"/>
          </w:tcPr>
          <w:p w14:paraId="618BEA5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4E9DAA4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一种小径薄壁钼及钼合金管的制备方法</w:t>
            </w:r>
          </w:p>
        </w:tc>
        <w:tc>
          <w:tcPr>
            <w:tcW w:w="700" w:type="dxa"/>
            <w:vAlign w:val="center"/>
          </w:tcPr>
          <w:p w14:paraId="043EE71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7D401F4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201911136960.X</w:t>
            </w:r>
          </w:p>
        </w:tc>
        <w:tc>
          <w:tcPr>
            <w:tcW w:w="913" w:type="dxa"/>
            <w:vAlign w:val="center"/>
          </w:tcPr>
          <w:p w14:paraId="37FF709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21</w:t>
            </w:r>
            <w:r>
              <w:rPr>
                <w:rFonts w:hint="default" w:ascii="Times New Roman" w:hAnsi="Times New Roman" w:cs="Times New Roman" w:eastAsiaTheme="minorEastAsia"/>
                <w:color w:val="000000"/>
                <w:sz w:val="18"/>
                <w:szCs w:val="18"/>
              </w:rPr>
              <w:t xml:space="preserve">年 </w:t>
            </w:r>
          </w:p>
          <w:p w14:paraId="62B8513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07</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13</w:t>
            </w:r>
            <w:r>
              <w:rPr>
                <w:rFonts w:hint="default" w:ascii="Times New Roman" w:hAnsi="Times New Roman" w:cs="Times New Roman" w:eastAsiaTheme="minorEastAsia"/>
                <w:color w:val="000000"/>
                <w:sz w:val="18"/>
                <w:szCs w:val="18"/>
              </w:rPr>
              <w:t>日</w:t>
            </w:r>
          </w:p>
        </w:tc>
        <w:tc>
          <w:tcPr>
            <w:tcW w:w="917" w:type="dxa"/>
            <w:vAlign w:val="center"/>
          </w:tcPr>
          <w:p w14:paraId="5D87F43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4541907</w:t>
            </w:r>
          </w:p>
        </w:tc>
        <w:tc>
          <w:tcPr>
            <w:tcW w:w="1004" w:type="dxa"/>
            <w:vAlign w:val="center"/>
          </w:tcPr>
          <w:p w14:paraId="3ABE59C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3EFEDBFA">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何凯，曹维成，刘东新，安耿，韩强，赵虎，杨</w:t>
            </w:r>
            <w:r>
              <w:rPr>
                <w:rFonts w:hint="eastAsia" w:ascii="Times New Roman" w:hAnsi="Times New Roman" w:cs="Times New Roman" w:eastAsiaTheme="minorEastAsia"/>
                <w:color w:val="000000"/>
                <w:sz w:val="18"/>
                <w:szCs w:val="18"/>
                <w:lang w:val="en-US" w:eastAsia="zh-CN"/>
              </w:rPr>
              <w:t>秦</w:t>
            </w:r>
            <w:r>
              <w:rPr>
                <w:rFonts w:hint="default" w:ascii="Times New Roman" w:hAnsi="Times New Roman" w:cs="Times New Roman" w:eastAsiaTheme="minorEastAsia"/>
                <w:color w:val="000000"/>
                <w:sz w:val="18"/>
                <w:szCs w:val="18"/>
                <w:lang w:val="en-US" w:eastAsia="zh-CN"/>
              </w:rPr>
              <w:t>莉，易婷，张涛，李晶，王宇晴，张晓，朱琦，王娜</w:t>
            </w:r>
          </w:p>
        </w:tc>
      </w:tr>
      <w:tr w14:paraId="75DE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3690C4F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6</w:t>
            </w:r>
          </w:p>
        </w:tc>
        <w:tc>
          <w:tcPr>
            <w:tcW w:w="709" w:type="dxa"/>
            <w:vAlign w:val="center"/>
          </w:tcPr>
          <w:p w14:paraId="0C9D276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60033C6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一种从钼焙砂中浸出钼的方法</w:t>
            </w:r>
          </w:p>
        </w:tc>
        <w:tc>
          <w:tcPr>
            <w:tcW w:w="700" w:type="dxa"/>
            <w:vAlign w:val="center"/>
          </w:tcPr>
          <w:p w14:paraId="4EB6BFF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中国</w:t>
            </w:r>
          </w:p>
        </w:tc>
        <w:tc>
          <w:tcPr>
            <w:tcW w:w="1061" w:type="dxa"/>
            <w:vAlign w:val="center"/>
          </w:tcPr>
          <w:p w14:paraId="3A2A625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ZL201310362859.2</w:t>
            </w:r>
          </w:p>
        </w:tc>
        <w:tc>
          <w:tcPr>
            <w:tcW w:w="913" w:type="dxa"/>
            <w:vAlign w:val="center"/>
          </w:tcPr>
          <w:p w14:paraId="79C8F41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 xml:space="preserve">2014年 </w:t>
            </w:r>
          </w:p>
          <w:p w14:paraId="42FE8528">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12月03日</w:t>
            </w:r>
          </w:p>
        </w:tc>
        <w:tc>
          <w:tcPr>
            <w:tcW w:w="917" w:type="dxa"/>
            <w:vAlign w:val="center"/>
          </w:tcPr>
          <w:p w14:paraId="3F61EEE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1533957</w:t>
            </w:r>
          </w:p>
        </w:tc>
        <w:tc>
          <w:tcPr>
            <w:tcW w:w="1004" w:type="dxa"/>
            <w:vAlign w:val="center"/>
          </w:tcPr>
          <w:p w14:paraId="29614F2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金堆城钼业股份有限公司</w:t>
            </w:r>
          </w:p>
        </w:tc>
        <w:tc>
          <w:tcPr>
            <w:tcW w:w="1623" w:type="dxa"/>
            <w:vAlign w:val="center"/>
          </w:tcPr>
          <w:p w14:paraId="7EBDF41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 xml:space="preserve">唐军利 </w:t>
            </w:r>
          </w:p>
        </w:tc>
      </w:tr>
      <w:tr w14:paraId="4968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26" w:type="dxa"/>
            <w:vAlign w:val="center"/>
          </w:tcPr>
          <w:p w14:paraId="024C185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7</w:t>
            </w:r>
          </w:p>
        </w:tc>
        <w:tc>
          <w:tcPr>
            <w:tcW w:w="709" w:type="dxa"/>
            <w:vAlign w:val="center"/>
          </w:tcPr>
          <w:p w14:paraId="650D67E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12DF469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一种低钾钼基体、制备方法及应用</w:t>
            </w:r>
          </w:p>
        </w:tc>
        <w:tc>
          <w:tcPr>
            <w:tcW w:w="700" w:type="dxa"/>
            <w:vAlign w:val="center"/>
          </w:tcPr>
          <w:p w14:paraId="00BA7D0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242A7CB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202210877318.2</w:t>
            </w:r>
          </w:p>
        </w:tc>
        <w:tc>
          <w:tcPr>
            <w:tcW w:w="913" w:type="dxa"/>
            <w:vAlign w:val="center"/>
          </w:tcPr>
          <w:p w14:paraId="1DA32E7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24</w:t>
            </w:r>
            <w:r>
              <w:rPr>
                <w:rFonts w:hint="default" w:ascii="Times New Roman" w:hAnsi="Times New Roman" w:cs="Times New Roman" w:eastAsiaTheme="minorEastAsia"/>
                <w:color w:val="000000"/>
                <w:sz w:val="18"/>
                <w:szCs w:val="18"/>
              </w:rPr>
              <w:t xml:space="preserve">年 </w:t>
            </w:r>
          </w:p>
          <w:p w14:paraId="7EC3334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0</w:t>
            </w:r>
            <w:r>
              <w:rPr>
                <w:rFonts w:hint="default" w:ascii="Times New Roman" w:hAnsi="Times New Roman" w:cs="Times New Roman" w:eastAsiaTheme="minorEastAsia"/>
                <w:color w:val="000000"/>
                <w:sz w:val="18"/>
                <w:szCs w:val="18"/>
                <w:lang w:val="en-US" w:eastAsia="zh-CN"/>
              </w:rPr>
              <w:t>2</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0</w:t>
            </w:r>
            <w:r>
              <w:rPr>
                <w:rFonts w:hint="default" w:ascii="Times New Roman" w:hAnsi="Times New Roman" w:cs="Times New Roman" w:eastAsiaTheme="minorEastAsia"/>
                <w:color w:val="000000"/>
                <w:sz w:val="18"/>
                <w:szCs w:val="18"/>
              </w:rPr>
              <w:t>6日</w:t>
            </w:r>
          </w:p>
        </w:tc>
        <w:tc>
          <w:tcPr>
            <w:tcW w:w="917" w:type="dxa"/>
            <w:vAlign w:val="center"/>
          </w:tcPr>
          <w:p w14:paraId="40FB0A5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6686340</w:t>
            </w:r>
          </w:p>
        </w:tc>
        <w:tc>
          <w:tcPr>
            <w:tcW w:w="1004" w:type="dxa"/>
            <w:vAlign w:val="center"/>
          </w:tcPr>
          <w:p w14:paraId="38512270">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76D4164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"https://www.patentstar.com.cn/Search/ResultList?CurrentQuery=6LCi5piO5piOL0lO&amp;type=Cn"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谢明明，</w:t>
            </w:r>
            <w:r>
              <w:rPr>
                <w:rFonts w:hint="default" w:ascii="Times New Roman" w:hAnsi="Times New Roman" w:cs="Times New Roman" w:eastAsiaTheme="minorEastAsia"/>
                <w:color w:val="000000"/>
                <w:sz w:val="18"/>
                <w:szCs w:val="18"/>
                <w:lang w:val="en-US" w:eastAsia="zh-CN"/>
              </w:rPr>
              <w:fldChar w:fldCharType="end"/>
            </w: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"https://www.patentstar.com.cn/Search/ResultList?CurrentQuery=5bSU546J6Z2SL0lO&amp;type=Cn"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崔玉青，</w:t>
            </w:r>
            <w:r>
              <w:rPr>
                <w:rFonts w:hint="default" w:ascii="Times New Roman" w:hAnsi="Times New Roman" w:cs="Times New Roman" w:eastAsiaTheme="minorEastAsia"/>
                <w:color w:val="000000"/>
                <w:sz w:val="18"/>
                <w:szCs w:val="18"/>
                <w:lang w:val="en-US" w:eastAsia="zh-CN"/>
              </w:rPr>
              <w:fldChar w:fldCharType="end"/>
            </w: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"https://www.patentstar.com.cn/Search/ResultList?CurrentQuery=5YiY5bu25rOiL0lO&amp;type=Cn"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刘延波，</w:t>
            </w:r>
            <w:r>
              <w:rPr>
                <w:rFonts w:hint="default" w:ascii="Times New Roman" w:hAnsi="Times New Roman" w:cs="Times New Roman" w:eastAsiaTheme="minorEastAsia"/>
                <w:color w:val="000000"/>
                <w:sz w:val="18"/>
                <w:szCs w:val="18"/>
                <w:lang w:val="en-US" w:eastAsia="zh-CN"/>
              </w:rPr>
              <w:fldChar w:fldCharType="end"/>
            </w: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"https://www.patentstar.com.cn/Search/ResultList?CurrentQuery=5p2O5bq3L0lO&amp;type=Cn"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李康，</w:t>
            </w:r>
            <w:r>
              <w:rPr>
                <w:rFonts w:hint="default" w:ascii="Times New Roman" w:hAnsi="Times New Roman" w:cs="Times New Roman" w:eastAsiaTheme="minorEastAsia"/>
                <w:color w:val="000000"/>
                <w:sz w:val="18"/>
                <w:szCs w:val="18"/>
                <w:lang w:val="en-US" w:eastAsia="zh-CN"/>
              </w:rPr>
              <w:fldChar w:fldCharType="end"/>
            </w: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"https://www.patentstar.com.cn/Search/ResultList?CurrentQuery=6LS66ZGrL0lO&amp;type=Cn"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贺鑫，</w:t>
            </w:r>
            <w:r>
              <w:rPr>
                <w:rFonts w:hint="default" w:ascii="Times New Roman" w:hAnsi="Times New Roman" w:cs="Times New Roman" w:eastAsiaTheme="minorEastAsia"/>
                <w:color w:val="000000"/>
                <w:sz w:val="18"/>
                <w:szCs w:val="18"/>
                <w:lang w:val="en-US" w:eastAsia="zh-CN"/>
              </w:rPr>
              <w:fldChar w:fldCharType="end"/>
            </w:r>
            <w:r>
              <w:rPr>
                <w:rFonts w:hint="default" w:ascii="Times New Roman" w:hAnsi="Times New Roman" w:cs="Times New Roman" w:eastAsiaTheme="minorEastAsia"/>
                <w:color w:val="000000"/>
                <w:sz w:val="18"/>
                <w:szCs w:val="18"/>
                <w:lang w:val="en-US" w:eastAsia="zh-CN"/>
              </w:rPr>
              <w:fldChar w:fldCharType="begin"/>
            </w:r>
            <w:r>
              <w:rPr>
                <w:rFonts w:hint="default" w:ascii="Times New Roman" w:hAnsi="Times New Roman" w:cs="Times New Roman" w:eastAsiaTheme="minorEastAsia"/>
                <w:color w:val="000000"/>
                <w:sz w:val="18"/>
                <w:szCs w:val="18"/>
                <w:lang w:val="en-US" w:eastAsia="zh-CN"/>
              </w:rPr>
              <w:instrText xml:space="preserve"> HYPERLINK "https://www.patentstar.com.cn/Search/ResultList?CurrentQuery=5Y6J5a2m5q2mL0lO&amp;type=Cn" </w:instrText>
            </w:r>
            <w:r>
              <w:rPr>
                <w:rFonts w:hint="default" w:ascii="Times New Roman" w:hAnsi="Times New Roman" w:cs="Times New Roman" w:eastAsiaTheme="minorEastAsia"/>
                <w:color w:val="000000"/>
                <w:sz w:val="18"/>
                <w:szCs w:val="18"/>
                <w:lang w:val="en-US" w:eastAsia="zh-CN"/>
              </w:rPr>
              <w:fldChar w:fldCharType="separate"/>
            </w:r>
            <w:r>
              <w:rPr>
                <w:rFonts w:hint="default" w:ascii="Times New Roman" w:hAnsi="Times New Roman" w:cs="Times New Roman" w:eastAsiaTheme="minorEastAsia"/>
                <w:color w:val="000000"/>
                <w:sz w:val="18"/>
                <w:szCs w:val="18"/>
                <w:lang w:val="en-US" w:eastAsia="zh-CN"/>
              </w:rPr>
              <w:t>厉学武</w:t>
            </w:r>
            <w:r>
              <w:rPr>
                <w:rFonts w:hint="default" w:ascii="Times New Roman" w:hAnsi="Times New Roman" w:cs="Times New Roman" w:eastAsiaTheme="minorEastAsia"/>
                <w:color w:val="000000"/>
                <w:sz w:val="18"/>
                <w:szCs w:val="18"/>
                <w:lang w:val="en-US" w:eastAsia="zh-CN"/>
              </w:rPr>
              <w:fldChar w:fldCharType="end"/>
            </w:r>
          </w:p>
        </w:tc>
      </w:tr>
      <w:tr w14:paraId="300D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0105975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8</w:t>
            </w:r>
          </w:p>
        </w:tc>
        <w:tc>
          <w:tcPr>
            <w:tcW w:w="709" w:type="dxa"/>
            <w:vAlign w:val="center"/>
          </w:tcPr>
          <w:p w14:paraId="78B3887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7E9CDB3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一种二氧化钼的制备方法</w:t>
            </w:r>
          </w:p>
        </w:tc>
        <w:tc>
          <w:tcPr>
            <w:tcW w:w="700" w:type="dxa"/>
            <w:vAlign w:val="center"/>
          </w:tcPr>
          <w:p w14:paraId="48016F3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0E185AA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201811586810.4</w:t>
            </w:r>
          </w:p>
        </w:tc>
        <w:tc>
          <w:tcPr>
            <w:tcW w:w="913" w:type="dxa"/>
            <w:vAlign w:val="center"/>
          </w:tcPr>
          <w:p w14:paraId="1D716ABE">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21</w:t>
            </w:r>
            <w:r>
              <w:rPr>
                <w:rFonts w:hint="default" w:ascii="Times New Roman" w:hAnsi="Times New Roman" w:cs="Times New Roman" w:eastAsiaTheme="minorEastAsia"/>
                <w:color w:val="000000"/>
                <w:sz w:val="18"/>
                <w:szCs w:val="18"/>
              </w:rPr>
              <w:t xml:space="preserve">年 </w:t>
            </w:r>
          </w:p>
          <w:p w14:paraId="5746688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02</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02</w:t>
            </w:r>
            <w:r>
              <w:rPr>
                <w:rFonts w:hint="default" w:ascii="Times New Roman" w:hAnsi="Times New Roman" w:cs="Times New Roman" w:eastAsiaTheme="minorEastAsia"/>
                <w:color w:val="000000"/>
                <w:sz w:val="18"/>
                <w:szCs w:val="18"/>
              </w:rPr>
              <w:t>日</w:t>
            </w:r>
          </w:p>
        </w:tc>
        <w:tc>
          <w:tcPr>
            <w:tcW w:w="917" w:type="dxa"/>
            <w:vAlign w:val="center"/>
          </w:tcPr>
          <w:p w14:paraId="1B09B6E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4234611</w:t>
            </w:r>
          </w:p>
        </w:tc>
        <w:tc>
          <w:tcPr>
            <w:tcW w:w="1004" w:type="dxa"/>
            <w:vAlign w:val="center"/>
          </w:tcPr>
          <w:p w14:paraId="739E20D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1F17BC6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唐军利</w:t>
            </w:r>
          </w:p>
        </w:tc>
      </w:tr>
      <w:tr w14:paraId="4D36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26" w:type="dxa"/>
            <w:vAlign w:val="center"/>
          </w:tcPr>
          <w:p w14:paraId="39EAC60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9</w:t>
            </w:r>
          </w:p>
        </w:tc>
        <w:tc>
          <w:tcPr>
            <w:tcW w:w="709" w:type="dxa"/>
            <w:vAlign w:val="center"/>
          </w:tcPr>
          <w:p w14:paraId="6F2DDD8C">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发明专利</w:t>
            </w:r>
          </w:p>
        </w:tc>
        <w:tc>
          <w:tcPr>
            <w:tcW w:w="1573" w:type="dxa"/>
            <w:vAlign w:val="center"/>
          </w:tcPr>
          <w:p w14:paraId="21FFA73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一种二氧化钛和三氧化钼复合粉体的制备方法</w:t>
            </w:r>
          </w:p>
        </w:tc>
        <w:tc>
          <w:tcPr>
            <w:tcW w:w="700" w:type="dxa"/>
            <w:vAlign w:val="center"/>
          </w:tcPr>
          <w:p w14:paraId="11EFDF46">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5D621B4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201810618330.5</w:t>
            </w:r>
          </w:p>
        </w:tc>
        <w:tc>
          <w:tcPr>
            <w:tcW w:w="913" w:type="dxa"/>
            <w:vAlign w:val="center"/>
          </w:tcPr>
          <w:p w14:paraId="17D0CD1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20</w:t>
            </w:r>
            <w:r>
              <w:rPr>
                <w:rFonts w:hint="default" w:ascii="Times New Roman" w:hAnsi="Times New Roman" w:cs="Times New Roman" w:eastAsiaTheme="minorEastAsia"/>
                <w:color w:val="000000"/>
                <w:sz w:val="18"/>
                <w:szCs w:val="18"/>
              </w:rPr>
              <w:t xml:space="preserve">年 </w:t>
            </w:r>
          </w:p>
          <w:p w14:paraId="366F0AB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0</w:t>
            </w:r>
            <w:r>
              <w:rPr>
                <w:rFonts w:hint="default" w:ascii="Times New Roman" w:hAnsi="Times New Roman" w:cs="Times New Roman" w:eastAsiaTheme="minorEastAsia"/>
                <w:color w:val="000000"/>
                <w:sz w:val="18"/>
                <w:szCs w:val="18"/>
                <w:lang w:val="en-US" w:eastAsia="zh-CN"/>
              </w:rPr>
              <w:t>8</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25</w:t>
            </w:r>
            <w:r>
              <w:rPr>
                <w:rFonts w:hint="default" w:ascii="Times New Roman" w:hAnsi="Times New Roman" w:cs="Times New Roman" w:eastAsiaTheme="minorEastAsia"/>
                <w:color w:val="000000"/>
                <w:sz w:val="18"/>
                <w:szCs w:val="18"/>
              </w:rPr>
              <w:t>日</w:t>
            </w:r>
          </w:p>
        </w:tc>
        <w:tc>
          <w:tcPr>
            <w:tcW w:w="917" w:type="dxa"/>
            <w:vAlign w:val="center"/>
          </w:tcPr>
          <w:p w14:paraId="5C2E072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3954382</w:t>
            </w:r>
          </w:p>
        </w:tc>
        <w:tc>
          <w:tcPr>
            <w:tcW w:w="1004" w:type="dxa"/>
            <w:vAlign w:val="center"/>
          </w:tcPr>
          <w:p w14:paraId="57F7D34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7EB21B9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厉学武，唐丽霞，曹维成，罗建海，刘东新，王磊，杨秦莉，安耿，薛光弟，郭军刚</w:t>
            </w:r>
          </w:p>
        </w:tc>
      </w:tr>
      <w:tr w14:paraId="4E57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426" w:type="dxa"/>
            <w:vAlign w:val="center"/>
          </w:tcPr>
          <w:p w14:paraId="1E871FF1">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w:t>
            </w:r>
          </w:p>
        </w:tc>
        <w:tc>
          <w:tcPr>
            <w:tcW w:w="709" w:type="dxa"/>
            <w:vAlign w:val="center"/>
          </w:tcPr>
          <w:p w14:paraId="070E149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eastAsiaTheme="minorEastAsia"/>
                <w:color w:val="000000"/>
                <w:sz w:val="18"/>
                <w:szCs w:val="18"/>
                <w:lang w:val="en-US" w:eastAsia="zh-CN"/>
              </w:rPr>
              <w:t>实用新型</w:t>
            </w:r>
          </w:p>
        </w:tc>
        <w:tc>
          <w:tcPr>
            <w:tcW w:w="1573" w:type="dxa"/>
            <w:vAlign w:val="center"/>
          </w:tcPr>
          <w:p w14:paraId="67C187E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一种硫化料舟</w:t>
            </w:r>
          </w:p>
        </w:tc>
        <w:tc>
          <w:tcPr>
            <w:tcW w:w="700" w:type="dxa"/>
            <w:vAlign w:val="center"/>
          </w:tcPr>
          <w:p w14:paraId="649F2C6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7167F00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ZL</w:t>
            </w:r>
            <w:r>
              <w:rPr>
                <w:rFonts w:hint="default" w:ascii="Times New Roman" w:hAnsi="Times New Roman" w:cs="Times New Roman" w:eastAsiaTheme="minorEastAsia"/>
                <w:color w:val="000000"/>
                <w:sz w:val="18"/>
                <w:szCs w:val="18"/>
                <w:lang w:val="en-US" w:eastAsia="zh-CN"/>
              </w:rPr>
              <w:t>201921149657.9</w:t>
            </w:r>
          </w:p>
        </w:tc>
        <w:tc>
          <w:tcPr>
            <w:tcW w:w="913" w:type="dxa"/>
            <w:vAlign w:val="center"/>
          </w:tcPr>
          <w:p w14:paraId="20861DF7">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20</w:t>
            </w:r>
            <w:r>
              <w:rPr>
                <w:rFonts w:hint="default" w:ascii="Times New Roman" w:hAnsi="Times New Roman" w:cs="Times New Roman" w:eastAsiaTheme="minorEastAsia"/>
                <w:color w:val="000000"/>
                <w:sz w:val="18"/>
                <w:szCs w:val="18"/>
                <w:lang w:val="en-US" w:eastAsia="zh-CN"/>
              </w:rPr>
              <w:t>20</w:t>
            </w:r>
            <w:r>
              <w:rPr>
                <w:rFonts w:hint="default" w:ascii="Times New Roman" w:hAnsi="Times New Roman" w:cs="Times New Roman" w:eastAsiaTheme="minorEastAsia"/>
                <w:color w:val="000000"/>
                <w:sz w:val="18"/>
                <w:szCs w:val="18"/>
              </w:rPr>
              <w:t xml:space="preserve">年 </w:t>
            </w:r>
          </w:p>
          <w:p w14:paraId="25CFF69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0</w:t>
            </w:r>
            <w:r>
              <w:rPr>
                <w:rFonts w:hint="default" w:ascii="Times New Roman" w:hAnsi="Times New Roman" w:cs="Times New Roman" w:eastAsiaTheme="minorEastAsia"/>
                <w:color w:val="000000"/>
                <w:sz w:val="18"/>
                <w:szCs w:val="18"/>
                <w:lang w:val="en-US" w:eastAsia="zh-CN"/>
              </w:rPr>
              <w:t>5</w:t>
            </w:r>
            <w:r>
              <w:rPr>
                <w:rFonts w:hint="default" w:ascii="Times New Roman" w:hAnsi="Times New Roman" w:cs="Times New Roman" w:eastAsiaTheme="minorEastAsia"/>
                <w:color w:val="000000"/>
                <w:sz w:val="18"/>
                <w:szCs w:val="18"/>
              </w:rPr>
              <w:t>月</w:t>
            </w:r>
            <w:r>
              <w:rPr>
                <w:rFonts w:hint="default" w:ascii="Times New Roman" w:hAnsi="Times New Roman" w:cs="Times New Roman" w:eastAsiaTheme="minorEastAsia"/>
                <w:color w:val="000000"/>
                <w:sz w:val="18"/>
                <w:szCs w:val="18"/>
                <w:lang w:val="en-US" w:eastAsia="zh-CN"/>
              </w:rPr>
              <w:t>26</w:t>
            </w:r>
            <w:r>
              <w:rPr>
                <w:rFonts w:hint="default" w:ascii="Times New Roman" w:hAnsi="Times New Roman" w:cs="Times New Roman" w:eastAsiaTheme="minorEastAsia"/>
                <w:color w:val="000000"/>
                <w:sz w:val="18"/>
                <w:szCs w:val="18"/>
              </w:rPr>
              <w:t xml:space="preserve">日 </w:t>
            </w:r>
          </w:p>
        </w:tc>
        <w:tc>
          <w:tcPr>
            <w:tcW w:w="917" w:type="dxa"/>
            <w:vAlign w:val="center"/>
          </w:tcPr>
          <w:p w14:paraId="01E63DFB">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10597519</w:t>
            </w:r>
            <w:r>
              <w:rPr>
                <w:rFonts w:hint="default" w:ascii="Times New Roman" w:hAnsi="Times New Roman" w:cs="Times New Roman" w:eastAsiaTheme="minorEastAsia"/>
                <w:color w:val="000000"/>
                <w:sz w:val="18"/>
                <w:szCs w:val="18"/>
              </w:rPr>
              <w:t xml:space="preserve"> </w:t>
            </w:r>
          </w:p>
        </w:tc>
        <w:tc>
          <w:tcPr>
            <w:tcW w:w="1004" w:type="dxa"/>
            <w:vAlign w:val="center"/>
          </w:tcPr>
          <w:p w14:paraId="66CE8439">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69F67D0D">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张晓，崔玉青，张菊平，席莎，唐军利，唐丽霞，刘东新</w:t>
            </w:r>
          </w:p>
        </w:tc>
      </w:tr>
      <w:tr w14:paraId="34E0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426" w:type="dxa"/>
            <w:vAlign w:val="center"/>
          </w:tcPr>
          <w:p w14:paraId="72F5E853">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11</w:t>
            </w:r>
          </w:p>
        </w:tc>
        <w:tc>
          <w:tcPr>
            <w:tcW w:w="709" w:type="dxa"/>
            <w:vAlign w:val="center"/>
          </w:tcPr>
          <w:p w14:paraId="64C6A52F">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实用新型</w:t>
            </w:r>
          </w:p>
        </w:tc>
        <w:tc>
          <w:tcPr>
            <w:tcW w:w="1573" w:type="dxa"/>
            <w:vAlign w:val="center"/>
          </w:tcPr>
          <w:p w14:paraId="042D4212">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一种提高金属粉末还原效率的三层料舟</w:t>
            </w:r>
          </w:p>
        </w:tc>
        <w:tc>
          <w:tcPr>
            <w:tcW w:w="700" w:type="dxa"/>
            <w:vAlign w:val="center"/>
          </w:tcPr>
          <w:p w14:paraId="4EC505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0EDBA89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ZL202222890114.0</w:t>
            </w:r>
          </w:p>
        </w:tc>
        <w:tc>
          <w:tcPr>
            <w:tcW w:w="913" w:type="dxa"/>
            <w:vAlign w:val="center"/>
          </w:tcPr>
          <w:p w14:paraId="7B77D8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2023年03月10日</w:t>
            </w:r>
          </w:p>
        </w:tc>
        <w:tc>
          <w:tcPr>
            <w:tcW w:w="917" w:type="dxa"/>
            <w:vAlign w:val="center"/>
          </w:tcPr>
          <w:p w14:paraId="36BF794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18608494</w:t>
            </w:r>
          </w:p>
        </w:tc>
        <w:tc>
          <w:tcPr>
            <w:tcW w:w="1004" w:type="dxa"/>
            <w:vAlign w:val="center"/>
          </w:tcPr>
          <w:p w14:paraId="19A8B5E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356F16F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C00000"/>
                <w:sz w:val="18"/>
                <w:szCs w:val="18"/>
                <w:lang w:val="en-US" w:eastAsia="zh-CN"/>
              </w:rPr>
            </w:pPr>
            <w:r>
              <w:rPr>
                <w:rFonts w:hint="default" w:ascii="Times New Roman" w:hAnsi="Times New Roman" w:cs="Times New Roman" w:eastAsiaTheme="minorEastAsia"/>
                <w:color w:val="000000"/>
                <w:kern w:val="2"/>
                <w:sz w:val="18"/>
                <w:szCs w:val="18"/>
                <w:lang w:val="en-US" w:eastAsia="zh-CN" w:bidi="ar-SA"/>
              </w:rPr>
              <w:t>邢军</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蔺靖杰</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刘旭洋</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杨秦莉</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厉学武</w:t>
            </w:r>
          </w:p>
        </w:tc>
      </w:tr>
      <w:tr w14:paraId="361A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426" w:type="dxa"/>
            <w:vAlign w:val="center"/>
          </w:tcPr>
          <w:p w14:paraId="121E44C5">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12</w:t>
            </w:r>
          </w:p>
        </w:tc>
        <w:tc>
          <w:tcPr>
            <w:tcW w:w="709" w:type="dxa"/>
            <w:vAlign w:val="center"/>
          </w:tcPr>
          <w:p w14:paraId="3C23C5B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实用新型</w:t>
            </w:r>
          </w:p>
        </w:tc>
        <w:tc>
          <w:tcPr>
            <w:tcW w:w="1573" w:type="dxa"/>
            <w:vAlign w:val="center"/>
          </w:tcPr>
          <w:p w14:paraId="78B7BA04">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降低钼焙砂氨浸过程氨耗的装置</w:t>
            </w:r>
          </w:p>
        </w:tc>
        <w:tc>
          <w:tcPr>
            <w:tcW w:w="700" w:type="dxa"/>
            <w:vAlign w:val="center"/>
          </w:tcPr>
          <w:p w14:paraId="74C9B3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中国</w:t>
            </w:r>
          </w:p>
        </w:tc>
        <w:tc>
          <w:tcPr>
            <w:tcW w:w="1061" w:type="dxa"/>
            <w:vAlign w:val="center"/>
          </w:tcPr>
          <w:p w14:paraId="6DF1EFC8">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ZL202420775368.4</w:t>
            </w:r>
          </w:p>
        </w:tc>
        <w:tc>
          <w:tcPr>
            <w:tcW w:w="913" w:type="dxa"/>
            <w:vAlign w:val="center"/>
          </w:tcPr>
          <w:p w14:paraId="7BD71E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2025年03月25日</w:t>
            </w:r>
          </w:p>
        </w:tc>
        <w:tc>
          <w:tcPr>
            <w:tcW w:w="917" w:type="dxa"/>
            <w:vAlign w:val="center"/>
          </w:tcPr>
          <w:p w14:paraId="39E47F2F">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22652729</w:t>
            </w:r>
          </w:p>
        </w:tc>
        <w:tc>
          <w:tcPr>
            <w:tcW w:w="1004" w:type="dxa"/>
            <w:vAlign w:val="center"/>
          </w:tcPr>
          <w:p w14:paraId="184E1834">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金堆城钼业股份有限公司</w:t>
            </w:r>
          </w:p>
        </w:tc>
        <w:tc>
          <w:tcPr>
            <w:tcW w:w="1623" w:type="dxa"/>
            <w:vAlign w:val="center"/>
          </w:tcPr>
          <w:p w14:paraId="64779C35">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eastAsiaTheme="minorEastAsia"/>
                <w:color w:val="C00000"/>
                <w:sz w:val="18"/>
                <w:szCs w:val="18"/>
                <w:lang w:val="en-US" w:eastAsia="zh-CN"/>
              </w:rPr>
            </w:pPr>
            <w:r>
              <w:rPr>
                <w:rFonts w:hint="default" w:ascii="Times New Roman" w:hAnsi="Times New Roman" w:cs="Times New Roman" w:eastAsiaTheme="minorEastAsia"/>
                <w:color w:val="000000"/>
                <w:kern w:val="2"/>
                <w:sz w:val="18"/>
                <w:szCs w:val="18"/>
                <w:lang w:val="en-US" w:eastAsia="zh-CN" w:bidi="ar-SA"/>
              </w:rPr>
              <w:t>唐军利</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王诗雨</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任宝江</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崔玉青</w:t>
            </w:r>
            <w:r>
              <w:rPr>
                <w:rFonts w:hint="eastAsia" w:ascii="Times New Roman" w:hAnsi="Times New Roman" w:cs="Times New Roman" w:eastAsiaTheme="minorEastAsia"/>
                <w:color w:val="000000"/>
                <w:kern w:val="2"/>
                <w:sz w:val="18"/>
                <w:szCs w:val="18"/>
                <w:lang w:val="en-US" w:eastAsia="zh-CN" w:bidi="ar-SA"/>
              </w:rPr>
              <w:t>，</w:t>
            </w:r>
            <w:r>
              <w:rPr>
                <w:rFonts w:hint="default" w:ascii="Times New Roman" w:hAnsi="Times New Roman" w:cs="Times New Roman" w:eastAsiaTheme="minorEastAsia"/>
                <w:color w:val="000000"/>
                <w:kern w:val="2"/>
                <w:sz w:val="18"/>
                <w:szCs w:val="18"/>
                <w:lang w:val="en-US" w:eastAsia="zh-CN" w:bidi="ar-SA"/>
              </w:rPr>
              <w:t>杨秦莉　</w:t>
            </w:r>
          </w:p>
        </w:tc>
      </w:tr>
    </w:tbl>
    <w:p w14:paraId="0C9AE959">
      <w:pPr>
        <w:keepNext w:val="0"/>
        <w:keepLines w:val="0"/>
        <w:pageBreakBefore w:val="0"/>
        <w:numPr>
          <w:ilvl w:val="0"/>
          <w:numId w:val="3"/>
        </w:numPr>
        <w:kinsoku/>
        <w:wordWrap/>
        <w:overflowPunct/>
        <w:topLinePunct w:val="0"/>
        <w:bidi w:val="0"/>
        <w:spacing w:line="360" w:lineRule="exact"/>
        <w:ind w:left="0" w:leftChars="0" w:firstLine="0" w:firstLineChars="0"/>
        <w:textAlignment w:val="auto"/>
        <w:rPr>
          <w:b/>
          <w:bCs/>
          <w:color w:val="000000" w:themeColor="text1"/>
          <w:kern w:val="0"/>
          <w:szCs w:val="24"/>
          <w14:textFill>
            <w14:solidFill>
              <w14:schemeClr w14:val="tx1"/>
            </w14:solidFill>
          </w14:textFill>
        </w:rPr>
      </w:pPr>
      <w:r>
        <w:rPr>
          <w:b/>
          <w:bCs/>
          <w:color w:val="000000" w:themeColor="text1"/>
          <w:kern w:val="0"/>
          <w:szCs w:val="24"/>
          <w14:textFill>
            <w14:solidFill>
              <w14:schemeClr w14:val="tx1"/>
            </w14:solidFill>
          </w14:textFill>
        </w:rPr>
        <w:t>主要完成人情况</w:t>
      </w:r>
    </w:p>
    <w:tbl>
      <w:tblPr>
        <w:tblStyle w:val="8"/>
        <w:tblW w:w="8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6"/>
        <w:gridCol w:w="2615"/>
        <w:gridCol w:w="1272"/>
        <w:gridCol w:w="2977"/>
      </w:tblGrid>
      <w:tr w14:paraId="0774E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35E3EBA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5F47C94F">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val="en-US" w:eastAsia="zh-CN"/>
              </w:rPr>
              <w:t>厉学武</w:t>
            </w:r>
          </w:p>
        </w:tc>
        <w:tc>
          <w:tcPr>
            <w:tcW w:w="1272" w:type="dxa"/>
            <w:shd w:val="clear" w:color="000000" w:fill="FFFFFF"/>
            <w:vAlign w:val="center"/>
          </w:tcPr>
          <w:p w14:paraId="00EA524B">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630D3E0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14:paraId="5C56D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175C9334">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2E703EC0">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szCs w:val="21"/>
                <w:lang w:val="en-US" w:eastAsia="zh-CN"/>
              </w:rPr>
              <w:t>无</w:t>
            </w:r>
          </w:p>
        </w:tc>
        <w:tc>
          <w:tcPr>
            <w:tcW w:w="1272" w:type="dxa"/>
            <w:shd w:val="clear" w:color="000000" w:fill="FFFFFF"/>
            <w:vAlign w:val="center"/>
          </w:tcPr>
          <w:p w14:paraId="0742653C">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74D54D7D">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教授级高工</w:t>
            </w:r>
          </w:p>
        </w:tc>
      </w:tr>
      <w:tr w14:paraId="4D942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4C0BEC9B">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35E07E88">
            <w:pPr>
              <w:keepNext w:val="0"/>
              <w:keepLines w:val="0"/>
              <w:pageBreakBefore w:val="0"/>
              <w:widowControl/>
              <w:kinsoku/>
              <w:wordWrap/>
              <w:overflowPunct/>
              <w:topLinePunct w:val="0"/>
              <w:bidi w:val="0"/>
              <w:spacing w:line="240" w:lineRule="auto"/>
              <w:jc w:val="left"/>
              <w:textAlignment w:val="auto"/>
              <w:rPr>
                <w:rFonts w:asciiTheme="minorEastAsia" w:hAnsiTheme="minorEastAsia" w:eastAsiaTheme="minorEastAsia" w:cstheme="minorEastAsia"/>
                <w:color w:val="000000"/>
                <w:kern w:val="0"/>
                <w:szCs w:val="21"/>
              </w:rPr>
            </w:pPr>
            <w:r>
              <w:rPr>
                <w:rFonts w:ascii="STSong-Light" w:hAnsi="STSong-Light" w:eastAsia="STSong-Light" w:cs="STSong-Light"/>
                <w:color w:val="000000"/>
                <w:kern w:val="0"/>
                <w:sz w:val="20"/>
              </w:rPr>
              <w:t>金堆城钼业集团有限公司</w:t>
            </w:r>
          </w:p>
        </w:tc>
        <w:tc>
          <w:tcPr>
            <w:tcW w:w="1272" w:type="dxa"/>
            <w:shd w:val="clear" w:color="000000" w:fill="FFFFFF"/>
            <w:vAlign w:val="center"/>
          </w:tcPr>
          <w:p w14:paraId="07CCFDC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5657017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ascii="STSong-Light" w:hAnsi="STSong-Light" w:eastAsia="STSong-Light" w:cs="STSong-Light"/>
                <w:color w:val="000000"/>
                <w:kern w:val="0"/>
                <w:sz w:val="20"/>
              </w:rPr>
              <w:t>金堆城钼业集团有限公司</w:t>
            </w:r>
          </w:p>
        </w:tc>
      </w:tr>
      <w:tr w14:paraId="63EB9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2076" w:type="dxa"/>
            <w:shd w:val="clear" w:color="000000" w:fill="FFFFFF"/>
            <w:vAlign w:val="center"/>
          </w:tcPr>
          <w:p w14:paraId="2D4754D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tcPr>
          <w:p w14:paraId="0B2FF671">
            <w:pPr>
              <w:keepNext w:val="0"/>
              <w:keepLines w:val="0"/>
              <w:pageBreakBefore w:val="0"/>
              <w:kinsoku/>
              <w:wordWrap/>
              <w:overflowPunct/>
              <w:topLinePunct w:val="0"/>
              <w:bidi w:val="0"/>
              <w:spacing w:line="240" w:lineRule="auto"/>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全面负责项目整体方案制定及实施，参与</w:t>
            </w:r>
            <w:r>
              <w:rPr>
                <w:rFonts w:hint="eastAsia" w:asciiTheme="minorEastAsia" w:hAnsiTheme="minorEastAsia" w:eastAsiaTheme="minorEastAsia" w:cstheme="minorEastAsia"/>
                <w:szCs w:val="21"/>
                <w:lang w:val="en-US" w:eastAsia="zh-CN"/>
              </w:rPr>
              <w:t>钼提纯、十二钼酸铵制备、产线建设、产品认证过程中相关实验、产品检测、数据分析与汇总，主要贡献对应</w:t>
            </w:r>
            <w:r>
              <w:rPr>
                <w:rFonts w:hint="eastAsia" w:asciiTheme="minorEastAsia" w:hAnsiTheme="minorEastAsia" w:eastAsiaTheme="minorEastAsia" w:cstheme="minorEastAsia"/>
                <w:szCs w:val="21"/>
              </w:rPr>
              <w:t>申报书“主要科技创新”中的一、二、三、四。</w:t>
            </w:r>
          </w:p>
        </w:tc>
      </w:tr>
      <w:tr w14:paraId="29C09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75BE9FFB">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6BFC8097">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 xml:space="preserve"> </w:t>
            </w:r>
            <w:r>
              <w:rPr>
                <w:rFonts w:hint="eastAsia" w:asciiTheme="minorEastAsia" w:hAnsiTheme="minorEastAsia" w:eastAsiaTheme="minorEastAsia" w:cstheme="minorEastAsia"/>
                <w:color w:val="000000"/>
                <w:kern w:val="0"/>
                <w:szCs w:val="21"/>
                <w:lang w:val="en-US" w:eastAsia="zh-CN"/>
              </w:rPr>
              <w:t>李晶</w:t>
            </w:r>
          </w:p>
        </w:tc>
        <w:tc>
          <w:tcPr>
            <w:tcW w:w="1272" w:type="dxa"/>
            <w:shd w:val="clear" w:color="000000" w:fill="FFFFFF"/>
            <w:vAlign w:val="center"/>
          </w:tcPr>
          <w:p w14:paraId="3AB06C2F">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3CBD59F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14:paraId="44F7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5E805BC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167BA565">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szCs w:val="21"/>
              </w:rPr>
              <w:t>无</w:t>
            </w:r>
          </w:p>
        </w:tc>
        <w:tc>
          <w:tcPr>
            <w:tcW w:w="1272" w:type="dxa"/>
            <w:shd w:val="clear" w:color="000000" w:fill="FFFFFF"/>
            <w:vAlign w:val="center"/>
          </w:tcPr>
          <w:p w14:paraId="7312FBBE">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08DBA8B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教授级高工</w:t>
            </w:r>
          </w:p>
        </w:tc>
      </w:tr>
      <w:tr w14:paraId="45A0E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3B2B158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3176DF26">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color w:val="000000"/>
                <w:kern w:val="0"/>
                <w:szCs w:val="21"/>
                <w:lang w:eastAsia="zh-CN"/>
              </w:rPr>
            </w:pPr>
            <w:r>
              <w:rPr>
                <w:rFonts w:ascii="STSong-Light" w:hAnsi="STSong-Light" w:eastAsia="STSong-Light" w:cs="STSong-Light"/>
                <w:color w:val="000000"/>
                <w:kern w:val="0"/>
                <w:sz w:val="20"/>
              </w:rPr>
              <w:t>金堆城钼业集团有限公司</w:t>
            </w:r>
          </w:p>
        </w:tc>
        <w:tc>
          <w:tcPr>
            <w:tcW w:w="1272" w:type="dxa"/>
            <w:shd w:val="clear" w:color="000000" w:fill="FFFFFF"/>
            <w:vAlign w:val="center"/>
          </w:tcPr>
          <w:p w14:paraId="4D6B8F9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659456E5">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ascii="STSong-Light" w:hAnsi="STSong-Light" w:eastAsia="STSong-Light" w:cs="STSong-Light"/>
                <w:color w:val="000000"/>
                <w:kern w:val="0"/>
                <w:sz w:val="20"/>
              </w:rPr>
              <w:t>金堆城钼业集团有限公司</w:t>
            </w:r>
          </w:p>
        </w:tc>
      </w:tr>
      <w:tr w14:paraId="3C4F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2076" w:type="dxa"/>
            <w:shd w:val="clear" w:color="000000" w:fill="FFFFFF"/>
            <w:vAlign w:val="center"/>
          </w:tcPr>
          <w:p w14:paraId="0004D4E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tcPr>
          <w:p w14:paraId="09CCAF7D">
            <w:pPr>
              <w:keepNext w:val="0"/>
              <w:keepLines w:val="0"/>
              <w:pageBreakBefore w:val="0"/>
              <w:kinsoku/>
              <w:wordWrap/>
              <w:overflowPunct/>
              <w:topLinePunct w:val="0"/>
              <w:bidi w:val="0"/>
              <w:spacing w:line="240" w:lineRule="auto"/>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协助项目方案的制定，负责实验工艺的制定及优化，参与项目</w:t>
            </w:r>
            <w:r>
              <w:rPr>
                <w:rFonts w:hint="eastAsia" w:asciiTheme="minorEastAsia" w:hAnsiTheme="minorEastAsia" w:eastAsiaTheme="minorEastAsia" w:cstheme="minorEastAsia"/>
                <w:szCs w:val="21"/>
                <w:lang w:val="en-US" w:eastAsia="zh-CN"/>
              </w:rPr>
              <w:t>高纯氧化钼还原制备钼粉、钼电极、钼靶材制备，</w:t>
            </w:r>
            <w:r>
              <w:rPr>
                <w:rFonts w:hint="eastAsia" w:asciiTheme="minorEastAsia" w:hAnsiTheme="minorEastAsia" w:eastAsiaTheme="minorEastAsia" w:cstheme="minorEastAsia"/>
                <w:szCs w:val="21"/>
              </w:rPr>
              <w:t>生产线建设相关工作以及相关专利、论文的撰写，主要贡献对应申报书“主要科技创新”中的一、二、三。</w:t>
            </w:r>
          </w:p>
        </w:tc>
      </w:tr>
      <w:tr w14:paraId="6D04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65A9B98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2CFA8D64">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席莎</w:t>
            </w:r>
          </w:p>
        </w:tc>
        <w:tc>
          <w:tcPr>
            <w:tcW w:w="1272" w:type="dxa"/>
            <w:shd w:val="clear" w:color="000000" w:fill="FFFFFF"/>
            <w:vAlign w:val="center"/>
          </w:tcPr>
          <w:p w14:paraId="2A1DEA08">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47510BBF">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r>
      <w:tr w14:paraId="02FA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706C214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63C78DB5">
            <w:pPr>
              <w:keepNext w:val="0"/>
              <w:keepLines w:val="0"/>
              <w:pageBreakBefore w:val="0"/>
              <w:widowControl/>
              <w:kinsoku/>
              <w:wordWrap/>
              <w:overflowPunct/>
              <w:topLinePunct w:val="0"/>
              <w:bidi w:val="0"/>
              <w:spacing w:line="240" w:lineRule="auto"/>
              <w:jc w:val="center"/>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技术中心科长</w:t>
            </w:r>
          </w:p>
        </w:tc>
        <w:tc>
          <w:tcPr>
            <w:tcW w:w="1272" w:type="dxa"/>
            <w:shd w:val="clear" w:color="000000" w:fill="FFFFFF"/>
            <w:vAlign w:val="center"/>
          </w:tcPr>
          <w:p w14:paraId="09D28CDC">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5482124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高级工程师</w:t>
            </w:r>
          </w:p>
        </w:tc>
      </w:tr>
      <w:tr w14:paraId="1C3EE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517521E0">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0C4D876E">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rPr>
              <w:t>金堆城钼业集团有限公司</w:t>
            </w:r>
          </w:p>
        </w:tc>
        <w:tc>
          <w:tcPr>
            <w:tcW w:w="1272" w:type="dxa"/>
            <w:shd w:val="clear" w:color="000000" w:fill="FFFFFF"/>
            <w:vAlign w:val="center"/>
          </w:tcPr>
          <w:p w14:paraId="35E4F9E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07C56E5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ascii="STSong-Light" w:hAnsi="STSong-Light" w:eastAsia="STSong-Light" w:cs="STSong-Light"/>
                <w:color w:val="000000"/>
                <w:kern w:val="0"/>
                <w:sz w:val="20"/>
              </w:rPr>
              <w:t>金堆城钼业集团有限公司</w:t>
            </w:r>
          </w:p>
        </w:tc>
      </w:tr>
      <w:tr w14:paraId="01CFC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04105995">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vAlign w:val="center"/>
          </w:tcPr>
          <w:p w14:paraId="21A1A120">
            <w:pPr>
              <w:keepNext w:val="0"/>
              <w:keepLines w:val="0"/>
              <w:pageBreakBefore w:val="0"/>
              <w:kinsoku/>
              <w:wordWrap/>
              <w:overflowPunct/>
              <w:topLinePunct w:val="0"/>
              <w:bidi w:val="0"/>
              <w:spacing w:line="240" w:lineRule="auto"/>
              <w:ind w:firstLine="420" w:firstLineChars="200"/>
              <w:jc w:val="left"/>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负责</w:t>
            </w:r>
            <w:r>
              <w:rPr>
                <w:rFonts w:hint="eastAsia" w:asciiTheme="minorEastAsia" w:hAnsiTheme="minorEastAsia" w:eastAsiaTheme="minorEastAsia" w:cstheme="minorEastAsia"/>
                <w:szCs w:val="21"/>
                <w:lang w:val="en-US" w:eastAsia="zh-CN"/>
              </w:rPr>
              <w:t>高纯氧化钼还原制备高纯钼粉、高纯钼粉压制、烧结、模具设计相关</w:t>
            </w:r>
            <w:r>
              <w:rPr>
                <w:rFonts w:hint="eastAsia" w:asciiTheme="minorEastAsia" w:hAnsiTheme="minorEastAsia" w:eastAsiaTheme="minorEastAsia" w:cstheme="minorEastAsia"/>
                <w:szCs w:val="21"/>
              </w:rPr>
              <w:t>研究试验及数据分析等，进行项目知识产权的撰写及申报主要贡献对应申报书“主要科技创新”中的一、二、三。</w:t>
            </w:r>
          </w:p>
        </w:tc>
      </w:tr>
      <w:tr w14:paraId="105AE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4FE03F2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0581E775">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张晓</w:t>
            </w:r>
          </w:p>
        </w:tc>
        <w:tc>
          <w:tcPr>
            <w:tcW w:w="1272" w:type="dxa"/>
            <w:shd w:val="clear" w:color="000000" w:fill="FFFFFF"/>
            <w:vAlign w:val="center"/>
          </w:tcPr>
          <w:p w14:paraId="656C8B53">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1FD36994">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r>
      <w:tr w14:paraId="2B6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1AD182D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291A8AEE">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c>
          <w:tcPr>
            <w:tcW w:w="1272" w:type="dxa"/>
            <w:shd w:val="clear" w:color="000000" w:fill="FFFFFF"/>
            <w:vAlign w:val="center"/>
          </w:tcPr>
          <w:p w14:paraId="755CBC0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09929F7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教授级高工</w:t>
            </w:r>
          </w:p>
        </w:tc>
      </w:tr>
      <w:tr w14:paraId="7C978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0D37BFA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03DE2E63">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金堆城钼业集团有限公司</w:t>
            </w:r>
          </w:p>
        </w:tc>
        <w:tc>
          <w:tcPr>
            <w:tcW w:w="1272" w:type="dxa"/>
            <w:shd w:val="clear" w:color="000000" w:fill="FFFFFF"/>
            <w:vAlign w:val="center"/>
          </w:tcPr>
          <w:p w14:paraId="327C86B0">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583794E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金堆城钼业集团有限公司 </w:t>
            </w:r>
          </w:p>
        </w:tc>
      </w:tr>
      <w:tr w14:paraId="4D1E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2076" w:type="dxa"/>
            <w:shd w:val="clear" w:color="000000" w:fill="FFFFFF"/>
            <w:vAlign w:val="center"/>
          </w:tcPr>
          <w:p w14:paraId="755264B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tcPr>
          <w:p w14:paraId="7CB7552E">
            <w:pPr>
              <w:keepNext w:val="0"/>
              <w:keepLines w:val="0"/>
              <w:pageBreakBefore w:val="0"/>
              <w:widowControl/>
              <w:kinsoku/>
              <w:wordWrap/>
              <w:overflowPunct/>
              <w:topLinePunct w:val="0"/>
              <w:bidi w:val="0"/>
              <w:spacing w:line="240" w:lineRule="auto"/>
              <w:ind w:firstLine="420" w:firstLineChars="200"/>
              <w:jc w:val="left"/>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负责</w:t>
            </w:r>
            <w:r>
              <w:rPr>
                <w:rFonts w:hint="eastAsia" w:asciiTheme="minorEastAsia" w:hAnsiTheme="minorEastAsia" w:eastAsiaTheme="minorEastAsia" w:cstheme="minorEastAsia"/>
                <w:szCs w:val="21"/>
                <w:lang w:val="en-US" w:eastAsia="zh-CN"/>
              </w:rPr>
              <w:t>高纯钼电极、钼靶材制备技术研究，参与项目样品元素检测、力学性能检测</w:t>
            </w:r>
            <w:r>
              <w:rPr>
                <w:rFonts w:asciiTheme="minorEastAsia" w:hAnsiTheme="minorEastAsia" w:eastAsiaTheme="minorEastAsia" w:cstheme="minorEastAsia"/>
                <w:szCs w:val="21"/>
              </w:rPr>
              <w:t>，参与项目相关专利及论文的撰写</w:t>
            </w:r>
            <w:r>
              <w:rPr>
                <w:rFonts w:hint="eastAsia" w:asciiTheme="minorEastAsia" w:hAnsiTheme="minorEastAsia" w:eastAsiaTheme="minorEastAsia" w:cstheme="minorEastAsia"/>
                <w:szCs w:val="21"/>
              </w:rPr>
              <w:t>。主要贡献对应申报书“主要科技创新”中的一、二。</w:t>
            </w:r>
          </w:p>
        </w:tc>
      </w:tr>
      <w:tr w14:paraId="4D84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581B88AF">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22EF66ED">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崔玉青</w:t>
            </w:r>
          </w:p>
        </w:tc>
        <w:tc>
          <w:tcPr>
            <w:tcW w:w="1272" w:type="dxa"/>
            <w:shd w:val="clear" w:color="000000" w:fill="FFFFFF"/>
            <w:vAlign w:val="center"/>
          </w:tcPr>
          <w:p w14:paraId="769ADE5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1131DF79">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r>
      <w:tr w14:paraId="04EF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5059201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507D88C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c>
          <w:tcPr>
            <w:tcW w:w="1272" w:type="dxa"/>
            <w:shd w:val="clear" w:color="000000" w:fill="FFFFFF"/>
            <w:vAlign w:val="center"/>
          </w:tcPr>
          <w:p w14:paraId="651B43A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49FD9E9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教授级高工</w:t>
            </w:r>
          </w:p>
        </w:tc>
      </w:tr>
      <w:tr w14:paraId="1940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1F8BF913">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7CDE8B4D">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金堆城钼业集团有限公司</w:t>
            </w:r>
          </w:p>
        </w:tc>
        <w:tc>
          <w:tcPr>
            <w:tcW w:w="1272" w:type="dxa"/>
            <w:shd w:val="clear" w:color="000000" w:fill="FFFFFF"/>
            <w:vAlign w:val="center"/>
          </w:tcPr>
          <w:p w14:paraId="51AD997E">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1310CDDE">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金堆城钼业集团有限公司</w:t>
            </w:r>
          </w:p>
        </w:tc>
      </w:tr>
      <w:tr w14:paraId="7DC5E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2076" w:type="dxa"/>
            <w:shd w:val="clear" w:color="000000" w:fill="FFFFFF"/>
            <w:vAlign w:val="center"/>
          </w:tcPr>
          <w:p w14:paraId="6622E334">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vAlign w:val="center"/>
          </w:tcPr>
          <w:p w14:paraId="52437320">
            <w:pPr>
              <w:keepNext w:val="0"/>
              <w:keepLines w:val="0"/>
              <w:pageBreakBefore w:val="0"/>
              <w:widowControl/>
              <w:kinsoku/>
              <w:wordWrap/>
              <w:overflowPunct/>
              <w:topLinePunct w:val="0"/>
              <w:bidi w:val="0"/>
              <w:spacing w:line="240" w:lineRule="auto"/>
              <w:ind w:firstLine="420" w:firstLineChars="200"/>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负责</w:t>
            </w:r>
            <w:r>
              <w:rPr>
                <w:rFonts w:hint="eastAsia" w:asciiTheme="minorEastAsia" w:hAnsiTheme="minorEastAsia" w:eastAsiaTheme="minorEastAsia" w:cstheme="minorEastAsia"/>
                <w:szCs w:val="21"/>
                <w:lang w:val="en-US" w:eastAsia="zh-CN"/>
              </w:rPr>
              <w:t>十二钼酸铵制备新工艺技术试验研究，参与十二钼酸铵示范线设计，</w:t>
            </w:r>
            <w:r>
              <w:rPr>
                <w:rFonts w:hint="eastAsia" w:asciiTheme="minorEastAsia" w:hAnsiTheme="minorEastAsia" w:eastAsiaTheme="minorEastAsia" w:cstheme="minorEastAsia"/>
                <w:szCs w:val="21"/>
              </w:rPr>
              <w:t>进行项目相关专利撰写及申报</w:t>
            </w:r>
            <w:r>
              <w:rPr>
                <w:rFonts w:hint="eastAsia" w:asciiTheme="minorEastAsia" w:hAnsiTheme="minorEastAsia" w:eastAsiaTheme="minorEastAsia" w:cstheme="minorEastAsia"/>
                <w:szCs w:val="21"/>
                <w:lang w:val="en-US" w:eastAsia="zh-CN"/>
              </w:rPr>
              <w:t>与论文撰写与发表</w:t>
            </w:r>
            <w:r>
              <w:rPr>
                <w:rFonts w:hint="eastAsia" w:asciiTheme="minorEastAsia" w:hAnsiTheme="minorEastAsia" w:eastAsiaTheme="minorEastAsia" w:cstheme="minorEastAsia"/>
                <w:szCs w:val="21"/>
              </w:rPr>
              <w:t>。主要贡献对应申报书“主要科技创新”中的一、二、三。</w:t>
            </w:r>
          </w:p>
        </w:tc>
      </w:tr>
      <w:tr w14:paraId="20EEF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56F03CAC">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7989EFED">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唐军利</w:t>
            </w:r>
          </w:p>
        </w:tc>
        <w:tc>
          <w:tcPr>
            <w:tcW w:w="1272" w:type="dxa"/>
            <w:shd w:val="clear" w:color="000000" w:fill="FFFFFF"/>
            <w:vAlign w:val="center"/>
          </w:tcPr>
          <w:p w14:paraId="10E63CDF">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207F48EE">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r>
      <w:tr w14:paraId="6888F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097D3A9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6904F89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c>
          <w:tcPr>
            <w:tcW w:w="1272" w:type="dxa"/>
            <w:shd w:val="clear" w:color="000000" w:fill="FFFFFF"/>
            <w:vAlign w:val="center"/>
          </w:tcPr>
          <w:p w14:paraId="3334665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4A1007B0">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教授级高工</w:t>
            </w:r>
          </w:p>
        </w:tc>
      </w:tr>
      <w:tr w14:paraId="456C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645E08D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5DEBEA2D">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金堆城钼业集团有限公司</w:t>
            </w:r>
          </w:p>
        </w:tc>
        <w:tc>
          <w:tcPr>
            <w:tcW w:w="1272" w:type="dxa"/>
            <w:shd w:val="clear" w:color="000000" w:fill="FFFFFF"/>
            <w:vAlign w:val="center"/>
          </w:tcPr>
          <w:p w14:paraId="25CE0C4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1915D61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金堆城钼业集团有限公司</w:t>
            </w:r>
          </w:p>
        </w:tc>
      </w:tr>
      <w:tr w14:paraId="3FD5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61670C2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tcPr>
          <w:p w14:paraId="61483CB3">
            <w:pPr>
              <w:keepNext w:val="0"/>
              <w:keepLines w:val="0"/>
              <w:pageBreakBefore w:val="0"/>
              <w:widowControl/>
              <w:kinsoku/>
              <w:wordWrap/>
              <w:overflowPunct/>
              <w:topLinePunct w:val="0"/>
              <w:bidi w:val="0"/>
              <w:spacing w:line="240" w:lineRule="auto"/>
              <w:ind w:firstLine="420" w:firstLineChars="200"/>
              <w:jc w:val="left"/>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负责</w:t>
            </w:r>
            <w:r>
              <w:rPr>
                <w:rFonts w:hint="eastAsia" w:asciiTheme="minorEastAsia" w:hAnsiTheme="minorEastAsia" w:eastAsiaTheme="minorEastAsia" w:cstheme="minorEastAsia"/>
                <w:szCs w:val="21"/>
                <w:lang w:val="en-US" w:eastAsia="zh-CN"/>
              </w:rPr>
              <w:t>钼提纯技术方案设计及试验方案实施与产品理化性能测试分析，</w:t>
            </w:r>
            <w:r>
              <w:rPr>
                <w:rFonts w:asciiTheme="minorEastAsia" w:hAnsiTheme="minorEastAsia" w:eastAsiaTheme="minorEastAsia" w:cstheme="minorEastAsia"/>
                <w:szCs w:val="21"/>
              </w:rPr>
              <w:t>进行项目专利和论文的撰写及申报发表。</w:t>
            </w:r>
            <w:r>
              <w:rPr>
                <w:rFonts w:hint="eastAsia" w:asciiTheme="minorEastAsia" w:hAnsiTheme="minorEastAsia" w:eastAsiaTheme="minorEastAsia" w:cstheme="minorEastAsia"/>
                <w:szCs w:val="21"/>
              </w:rPr>
              <w:t>主要贡献对应申报书“主要科技创新”中的</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w:t>
            </w:r>
          </w:p>
        </w:tc>
      </w:tr>
      <w:tr w14:paraId="63C69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7BEE3BF9">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姓名</w:t>
            </w:r>
          </w:p>
        </w:tc>
        <w:tc>
          <w:tcPr>
            <w:tcW w:w="2615" w:type="dxa"/>
            <w:shd w:val="clear" w:color="000000" w:fill="FFFFFF"/>
            <w:vAlign w:val="center"/>
          </w:tcPr>
          <w:p w14:paraId="381F47D0">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杨秦莉</w:t>
            </w:r>
          </w:p>
        </w:tc>
        <w:tc>
          <w:tcPr>
            <w:tcW w:w="1272" w:type="dxa"/>
            <w:shd w:val="clear" w:color="000000" w:fill="FFFFFF"/>
            <w:vAlign w:val="center"/>
          </w:tcPr>
          <w:p w14:paraId="36BFF4F0">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排名</w:t>
            </w:r>
          </w:p>
        </w:tc>
        <w:tc>
          <w:tcPr>
            <w:tcW w:w="2977" w:type="dxa"/>
            <w:shd w:val="clear" w:color="000000" w:fill="FFFFFF"/>
            <w:vAlign w:val="center"/>
          </w:tcPr>
          <w:p w14:paraId="34EB00B1">
            <w:pPr>
              <w:keepNext w:val="0"/>
              <w:keepLines w:val="0"/>
              <w:pageBreakBefore w:val="0"/>
              <w:widowControl/>
              <w:kinsoku/>
              <w:wordWrap/>
              <w:overflowPunct/>
              <w:topLinePunct w:val="0"/>
              <w:bidi w:val="0"/>
              <w:spacing w:line="240" w:lineRule="auto"/>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r>
      <w:tr w14:paraId="5451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076" w:type="dxa"/>
            <w:shd w:val="clear" w:color="000000" w:fill="FFFFFF"/>
            <w:vAlign w:val="center"/>
          </w:tcPr>
          <w:p w14:paraId="08CC1058">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行政职务</w:t>
            </w:r>
          </w:p>
        </w:tc>
        <w:tc>
          <w:tcPr>
            <w:tcW w:w="2615" w:type="dxa"/>
            <w:shd w:val="clear" w:color="000000" w:fill="FFFFFF"/>
            <w:vAlign w:val="center"/>
          </w:tcPr>
          <w:p w14:paraId="2F5466D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c>
          <w:tcPr>
            <w:tcW w:w="1272" w:type="dxa"/>
            <w:shd w:val="clear" w:color="000000" w:fill="FFFFFF"/>
            <w:vAlign w:val="center"/>
          </w:tcPr>
          <w:p w14:paraId="601DFFA2">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技术职称</w:t>
            </w:r>
          </w:p>
        </w:tc>
        <w:tc>
          <w:tcPr>
            <w:tcW w:w="2977" w:type="dxa"/>
            <w:shd w:val="clear" w:color="000000" w:fill="FFFFFF"/>
            <w:vAlign w:val="center"/>
          </w:tcPr>
          <w:p w14:paraId="62602BF7">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高级工程师</w:t>
            </w:r>
          </w:p>
        </w:tc>
      </w:tr>
      <w:tr w14:paraId="3A84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076" w:type="dxa"/>
            <w:shd w:val="clear" w:color="000000" w:fill="FFFFFF"/>
            <w:vAlign w:val="center"/>
          </w:tcPr>
          <w:p w14:paraId="044D56ED">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工作单位</w:t>
            </w:r>
          </w:p>
        </w:tc>
        <w:tc>
          <w:tcPr>
            <w:tcW w:w="2615" w:type="dxa"/>
            <w:shd w:val="clear" w:color="000000" w:fill="FFFFFF"/>
            <w:vAlign w:val="center"/>
          </w:tcPr>
          <w:p w14:paraId="4B9A14BA">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ascii="STSong-Light" w:hAnsi="STSong-Light" w:eastAsia="STSong-Light" w:cs="STSong-Light"/>
                <w:color w:val="000000"/>
                <w:kern w:val="0"/>
                <w:sz w:val="20"/>
              </w:rPr>
              <w:t>金堆城钼业集团有限公司</w:t>
            </w:r>
          </w:p>
        </w:tc>
        <w:tc>
          <w:tcPr>
            <w:tcW w:w="1272" w:type="dxa"/>
            <w:shd w:val="clear" w:color="000000" w:fill="FFFFFF"/>
            <w:vAlign w:val="center"/>
          </w:tcPr>
          <w:p w14:paraId="4EE27DA1">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完成单位</w:t>
            </w:r>
          </w:p>
        </w:tc>
        <w:tc>
          <w:tcPr>
            <w:tcW w:w="2977" w:type="dxa"/>
            <w:shd w:val="clear" w:color="000000" w:fill="FFFFFF"/>
            <w:vAlign w:val="center"/>
          </w:tcPr>
          <w:p w14:paraId="23DF9C86">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szCs w:val="21"/>
              </w:rPr>
            </w:pPr>
            <w:r>
              <w:rPr>
                <w:rFonts w:ascii="STSong-Light" w:hAnsi="STSong-Light" w:eastAsia="STSong-Light" w:cs="STSong-Light"/>
                <w:color w:val="000000"/>
                <w:kern w:val="0"/>
                <w:sz w:val="20"/>
              </w:rPr>
              <w:t>金堆城钼业集团有限公司</w:t>
            </w:r>
          </w:p>
        </w:tc>
      </w:tr>
      <w:tr w14:paraId="7D635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2076" w:type="dxa"/>
            <w:shd w:val="clear" w:color="000000" w:fill="FFFFFF"/>
            <w:vAlign w:val="center"/>
          </w:tcPr>
          <w:p w14:paraId="08970BEC">
            <w:pPr>
              <w:keepNext w:val="0"/>
              <w:keepLines w:val="0"/>
              <w:pageBreakBefore w:val="0"/>
              <w:widowControl/>
              <w:kinsoku/>
              <w:wordWrap/>
              <w:overflowPunct/>
              <w:topLinePunct w:val="0"/>
              <w:bidi w:val="0"/>
              <w:spacing w:line="240" w:lineRule="auto"/>
              <w:jc w:val="center"/>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对本项目主要学术和技术创造性贡献</w:t>
            </w:r>
          </w:p>
        </w:tc>
        <w:tc>
          <w:tcPr>
            <w:tcW w:w="6864" w:type="dxa"/>
            <w:gridSpan w:val="3"/>
            <w:shd w:val="clear" w:color="000000" w:fill="FFFFFF"/>
            <w:vAlign w:val="center"/>
          </w:tcPr>
          <w:p w14:paraId="002B6D91">
            <w:pPr>
              <w:keepNext w:val="0"/>
              <w:keepLines w:val="0"/>
              <w:pageBreakBefore w:val="0"/>
              <w:widowControl/>
              <w:kinsoku/>
              <w:wordWrap/>
              <w:overflowPunct/>
              <w:topLinePunct w:val="0"/>
              <w:bidi w:val="0"/>
              <w:spacing w:line="240" w:lineRule="auto"/>
              <w:ind w:firstLine="400" w:firstLineChars="200"/>
              <w:jc w:val="both"/>
              <w:textAlignment w:val="auto"/>
              <w:rPr>
                <w:rFonts w:asciiTheme="minorEastAsia" w:hAnsiTheme="minorEastAsia" w:eastAsiaTheme="minorEastAsia" w:cstheme="minorEastAsia"/>
                <w:color w:val="000000"/>
                <w:kern w:val="0"/>
                <w:szCs w:val="21"/>
              </w:rPr>
            </w:pPr>
            <w:r>
              <w:rPr>
                <w:rFonts w:ascii="STSong-Light" w:hAnsi="STSong-Light" w:eastAsia="STSong-Light" w:cs="STSong-Light"/>
                <w:color w:val="000000"/>
                <w:kern w:val="0"/>
                <w:sz w:val="20"/>
              </w:rPr>
              <w:t>参与</w:t>
            </w:r>
            <w:r>
              <w:rPr>
                <w:rFonts w:hint="eastAsia" w:ascii="STSong-Light" w:hAnsi="STSong-Light" w:cs="STSong-Light"/>
                <w:color w:val="000000"/>
                <w:kern w:val="0"/>
                <w:sz w:val="20"/>
                <w:lang w:val="en-US" w:eastAsia="zh-CN"/>
              </w:rPr>
              <w:t>高纯钼粉制备</w:t>
            </w:r>
            <w:r>
              <w:rPr>
                <w:rFonts w:ascii="STSong-Light" w:hAnsi="STSong-Light" w:eastAsia="STSong-Light" w:cs="STSong-Light"/>
                <w:color w:val="000000"/>
                <w:kern w:val="0"/>
                <w:sz w:val="20"/>
              </w:rPr>
              <w:t>工艺研究试验</w:t>
            </w:r>
            <w:r>
              <w:rPr>
                <w:rFonts w:hint="eastAsia" w:ascii="STSong-Light" w:hAnsi="STSong-Light" w:cs="STSong-Light"/>
                <w:color w:val="000000"/>
                <w:kern w:val="0"/>
                <w:sz w:val="20"/>
                <w:lang w:val="en-US" w:eastAsia="zh-CN"/>
              </w:rPr>
              <w:t>及工装设备设计</w:t>
            </w:r>
            <w:r>
              <w:rPr>
                <w:rFonts w:ascii="STSong-Light" w:hAnsi="STSong-Light" w:eastAsia="STSong-Light" w:cs="STSong-Light"/>
                <w:color w:val="000000"/>
                <w:kern w:val="0"/>
                <w:sz w:val="20"/>
              </w:rPr>
              <w:t>，进行项目相关专利的撰写及申报。</w:t>
            </w:r>
            <w:r>
              <w:rPr>
                <w:rFonts w:hint="eastAsia" w:asciiTheme="minorEastAsia" w:hAnsiTheme="minorEastAsia" w:eastAsiaTheme="minorEastAsia" w:cstheme="minorEastAsia"/>
                <w:szCs w:val="21"/>
              </w:rPr>
              <w:t>主要贡献对应申报书“主要科技创新”中的二、三。</w:t>
            </w:r>
          </w:p>
        </w:tc>
      </w:tr>
    </w:tbl>
    <w:p w14:paraId="4DA493A9">
      <w:pPr>
        <w:keepNext w:val="0"/>
        <w:keepLines w:val="0"/>
        <w:pageBreakBefore w:val="0"/>
        <w:numPr>
          <w:ilvl w:val="0"/>
          <w:numId w:val="3"/>
        </w:numPr>
        <w:kinsoku/>
        <w:wordWrap/>
        <w:overflowPunct/>
        <w:topLinePunct w:val="0"/>
        <w:bidi w:val="0"/>
        <w:spacing w:line="360" w:lineRule="exact"/>
        <w:ind w:left="0" w:leftChars="0" w:firstLine="0" w:firstLineChars="0"/>
        <w:textAlignment w:val="auto"/>
        <w:rPr>
          <w:b/>
          <w:bCs/>
          <w:color w:val="000000" w:themeColor="text1"/>
          <w:kern w:val="0"/>
          <w:szCs w:val="24"/>
          <w14:textFill>
            <w14:solidFill>
              <w14:schemeClr w14:val="tx1"/>
            </w14:solidFill>
          </w14:textFill>
        </w:rPr>
      </w:pPr>
      <w:r>
        <w:rPr>
          <w:b/>
          <w:bCs/>
          <w:color w:val="000000" w:themeColor="text1"/>
          <w:kern w:val="0"/>
          <w:szCs w:val="24"/>
          <w14:textFill>
            <w14:solidFill>
              <w14:schemeClr w14:val="tx1"/>
            </w14:solidFill>
          </w14:textFill>
        </w:rPr>
        <w:t>主要完成单位排序及贡献</w:t>
      </w:r>
    </w:p>
    <w:tbl>
      <w:tblPr>
        <w:tblStyle w:val="8"/>
        <w:tblW w:w="8958" w:type="dxa"/>
        <w:jc w:val="center"/>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Layout w:type="fixed"/>
        <w:tblCellMar>
          <w:top w:w="0" w:type="dxa"/>
          <w:left w:w="0" w:type="dxa"/>
          <w:bottom w:w="0" w:type="dxa"/>
          <w:right w:w="0" w:type="dxa"/>
        </w:tblCellMar>
      </w:tblPr>
      <w:tblGrid>
        <w:gridCol w:w="924"/>
        <w:gridCol w:w="1169"/>
        <w:gridCol w:w="6865"/>
      </w:tblGrid>
      <w:tr w14:paraId="7B3EEF16">
        <w:tblPrEx>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CellMar>
            <w:top w:w="0" w:type="dxa"/>
            <w:left w:w="0" w:type="dxa"/>
            <w:bottom w:w="0" w:type="dxa"/>
            <w:right w:w="0" w:type="dxa"/>
          </w:tblCellMar>
        </w:tblPrEx>
        <w:trPr>
          <w:trHeight w:val="531" w:hRule="atLeast"/>
          <w:tblHeader/>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B513">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b/>
                <w:szCs w:val="21"/>
              </w:rPr>
            </w:pPr>
            <w:r>
              <w:rPr>
                <w:rFonts w:hint="eastAsia" w:ascii="宋体" w:hAnsi="宋体"/>
                <w:b/>
                <w:szCs w:val="21"/>
              </w:rPr>
              <w:t>排名</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07935">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b/>
                <w:szCs w:val="21"/>
              </w:rPr>
            </w:pPr>
            <w:r>
              <w:rPr>
                <w:rFonts w:hint="eastAsia" w:ascii="宋体" w:hAnsi="宋体"/>
                <w:b/>
                <w:szCs w:val="21"/>
              </w:rPr>
              <w:t>单位名称</w:t>
            </w:r>
          </w:p>
        </w:tc>
        <w:tc>
          <w:tcPr>
            <w:tcW w:w="68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3BEA">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b/>
                <w:szCs w:val="21"/>
              </w:rPr>
            </w:pPr>
            <w:r>
              <w:rPr>
                <w:rFonts w:hint="eastAsia" w:ascii="宋体" w:hAnsi="宋体"/>
                <w:b/>
                <w:szCs w:val="21"/>
              </w:rPr>
              <w:t>主要贡献</w:t>
            </w:r>
          </w:p>
        </w:tc>
      </w:tr>
      <w:tr w14:paraId="4C748DE8">
        <w:tblPrEx>
          <w:tblBorders>
            <w:top w:val="single" w:color="0000FF" w:sz="8" w:space="0"/>
            <w:left w:val="single" w:color="0000FF" w:sz="8" w:space="0"/>
            <w:bottom w:val="single" w:color="0000FF" w:sz="8" w:space="0"/>
            <w:right w:val="single" w:color="0000FF" w:sz="8" w:space="0"/>
            <w:insideH w:val="single" w:color="0000FF" w:sz="8" w:space="0"/>
            <w:insideV w:val="single" w:color="0000FF" w:sz="8" w:space="0"/>
          </w:tblBorders>
          <w:tblCellMar>
            <w:top w:w="0" w:type="dxa"/>
            <w:left w:w="0" w:type="dxa"/>
            <w:bottom w:w="0" w:type="dxa"/>
            <w:right w:w="0" w:type="dxa"/>
          </w:tblCellMar>
        </w:tblPrEx>
        <w:trPr>
          <w:trHeight w:val="632" w:hRule="atLeast"/>
          <w:tblHeader/>
          <w:jc w:val="center"/>
        </w:trPr>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3CA9">
            <w:pPr>
              <w:keepNext w:val="0"/>
              <w:keepLines w:val="0"/>
              <w:pageBreakBefore w:val="0"/>
              <w:kinsoku/>
              <w:wordWrap/>
              <w:overflowPunct/>
              <w:topLinePunct w:val="0"/>
              <w:autoSpaceDE w:val="0"/>
              <w:autoSpaceDN w:val="0"/>
              <w:bidi w:val="0"/>
              <w:adjustRightInd w:val="0"/>
              <w:spacing w:line="360" w:lineRule="exact"/>
              <w:jc w:val="center"/>
              <w:textAlignment w:val="auto"/>
              <w:rPr>
                <w:rFonts w:ascii="宋体" w:hAnsi="宋体"/>
                <w:szCs w:val="21"/>
              </w:rPr>
            </w:pPr>
            <w:r>
              <w:rPr>
                <w:rFonts w:hint="eastAsia" w:ascii="宋体" w:hAnsi="宋体"/>
                <w:szCs w:val="21"/>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575B">
            <w:pPr>
              <w:keepNext w:val="0"/>
              <w:keepLines w:val="0"/>
              <w:pageBreakBefore w:val="0"/>
              <w:widowControl/>
              <w:kinsoku/>
              <w:wordWrap/>
              <w:overflowPunct/>
              <w:topLinePunct w:val="0"/>
              <w:bidi w:val="0"/>
              <w:spacing w:line="360" w:lineRule="exact"/>
              <w:jc w:val="left"/>
              <w:textAlignment w:val="auto"/>
              <w:rPr>
                <w:rFonts w:ascii="宋体" w:hAnsi="宋体"/>
                <w:szCs w:val="21"/>
              </w:rPr>
            </w:pPr>
            <w:r>
              <w:rPr>
                <w:rFonts w:ascii="STSong-Light" w:hAnsi="STSong-Light" w:eastAsia="STSong-Light" w:cs="STSong-Light"/>
                <w:color w:val="000000"/>
                <w:kern w:val="0"/>
                <w:sz w:val="20"/>
              </w:rPr>
              <w:t xml:space="preserve">金堆城钼业集团有限公司 </w:t>
            </w:r>
          </w:p>
        </w:tc>
        <w:tc>
          <w:tcPr>
            <w:tcW w:w="6865" w:type="dxa"/>
            <w:tcBorders>
              <w:top w:val="single" w:color="000000" w:sz="4" w:space="0"/>
              <w:left w:val="single" w:color="000000" w:sz="4" w:space="0"/>
              <w:bottom w:val="single" w:color="000000" w:sz="4" w:space="0"/>
              <w:right w:val="single" w:color="000000" w:sz="4" w:space="0"/>
            </w:tcBorders>
            <w:shd w:val="clear" w:color="auto" w:fill="FFFFFF"/>
          </w:tcPr>
          <w:p w14:paraId="039987FD">
            <w:pPr>
              <w:keepNext w:val="0"/>
              <w:keepLines w:val="0"/>
              <w:pageBreakBefore w:val="0"/>
              <w:kinsoku/>
              <w:wordWrap/>
              <w:overflowPunct/>
              <w:topLinePunct w:val="0"/>
              <w:bidi w:val="0"/>
              <w:spacing w:line="240" w:lineRule="auto"/>
              <w:ind w:firstLine="420" w:firstLineChars="200"/>
              <w:jc w:val="left"/>
              <w:textAlignment w:val="auto"/>
              <w:rPr>
                <w:szCs w:val="24"/>
              </w:rPr>
            </w:pPr>
            <w:r>
              <w:rPr>
                <w:rFonts w:hint="eastAsia"/>
                <w:szCs w:val="24"/>
              </w:rPr>
              <w:t>对本项目科技创新和推广应用贡献</w:t>
            </w:r>
            <w:r>
              <w:rPr>
                <w:rFonts w:hint="eastAsia"/>
                <w:szCs w:val="24"/>
                <w:lang w:val="en-US" w:eastAsia="zh-CN"/>
              </w:rPr>
              <w:t>如下</w:t>
            </w:r>
            <w:r>
              <w:rPr>
                <w:rFonts w:hint="eastAsia"/>
                <w:szCs w:val="24"/>
              </w:rPr>
              <w:t xml:space="preserve">： </w:t>
            </w:r>
          </w:p>
          <w:p w14:paraId="239E9C04">
            <w:pPr>
              <w:keepNext w:val="0"/>
              <w:keepLines w:val="0"/>
              <w:pageBreakBefore w:val="0"/>
              <w:numPr>
                <w:ilvl w:val="0"/>
                <w:numId w:val="4"/>
              </w:numPr>
              <w:kinsoku/>
              <w:wordWrap/>
              <w:overflowPunct/>
              <w:topLinePunct w:val="0"/>
              <w:bidi w:val="0"/>
              <w:spacing w:line="240" w:lineRule="auto"/>
              <w:ind w:left="0" w:leftChars="0" w:firstLine="420" w:firstLineChars="200"/>
              <w:jc w:val="left"/>
              <w:textAlignment w:val="auto"/>
              <w:rPr>
                <w:rFonts w:hint="eastAsia"/>
                <w:szCs w:val="24"/>
              </w:rPr>
            </w:pPr>
            <w:r>
              <w:rPr>
                <w:rFonts w:hint="eastAsia"/>
                <w:szCs w:val="24"/>
              </w:rPr>
              <w:t>完成高纯</w:t>
            </w:r>
            <w:r>
              <w:rPr>
                <w:rFonts w:hint="eastAsia"/>
                <w:szCs w:val="24"/>
                <w:lang w:val="en-US" w:eastAsia="zh-CN"/>
              </w:rPr>
              <w:t>十二钼酸铵、高纯氧化钼、高纯钼粉、高纯钼电极与钼靶材制备技术开发、</w:t>
            </w:r>
            <w:r>
              <w:rPr>
                <w:rFonts w:hint="eastAsia"/>
                <w:szCs w:val="24"/>
              </w:rPr>
              <w:t>工业化试验及工艺确定，保障项目技术工业化应用实施的可靠性</w:t>
            </w:r>
            <w:r>
              <w:rPr>
                <w:rFonts w:hint="eastAsia"/>
                <w:szCs w:val="24"/>
                <w:lang w:eastAsia="zh-CN"/>
              </w:rPr>
              <w:t>；</w:t>
            </w:r>
          </w:p>
          <w:p w14:paraId="6CA515A3">
            <w:pPr>
              <w:keepNext w:val="0"/>
              <w:keepLines w:val="0"/>
              <w:pageBreakBefore w:val="0"/>
              <w:numPr>
                <w:ilvl w:val="0"/>
                <w:numId w:val="4"/>
              </w:numPr>
              <w:kinsoku/>
              <w:wordWrap/>
              <w:overflowPunct/>
              <w:topLinePunct w:val="0"/>
              <w:bidi w:val="0"/>
              <w:spacing w:line="240" w:lineRule="auto"/>
              <w:ind w:left="0" w:leftChars="0" w:firstLine="420" w:firstLineChars="200"/>
              <w:jc w:val="left"/>
              <w:textAlignment w:val="auto"/>
              <w:rPr>
                <w:rFonts w:hint="eastAsia"/>
                <w:szCs w:val="24"/>
              </w:rPr>
            </w:pPr>
            <w:r>
              <w:rPr>
                <w:rFonts w:hint="eastAsia"/>
                <w:szCs w:val="24"/>
              </w:rPr>
              <w:t>完成</w:t>
            </w:r>
            <w:r>
              <w:rPr>
                <w:rFonts w:hint="eastAsia"/>
                <w:szCs w:val="24"/>
                <w:lang w:val="en-US" w:eastAsia="zh-CN"/>
              </w:rPr>
              <w:t>十二钼酸铵、高纯钼粉示范性</w:t>
            </w:r>
            <w:r>
              <w:rPr>
                <w:rFonts w:hint="eastAsia"/>
                <w:szCs w:val="24"/>
              </w:rPr>
              <w:t>产线的建设实施并运行，验证项目相关技术的可行性；</w:t>
            </w:r>
          </w:p>
          <w:p w14:paraId="3D269077">
            <w:pPr>
              <w:keepNext w:val="0"/>
              <w:keepLines w:val="0"/>
              <w:pageBreakBefore w:val="0"/>
              <w:numPr>
                <w:ilvl w:val="0"/>
                <w:numId w:val="4"/>
              </w:numPr>
              <w:kinsoku/>
              <w:wordWrap/>
              <w:overflowPunct/>
              <w:topLinePunct w:val="0"/>
              <w:bidi w:val="0"/>
              <w:spacing w:line="240" w:lineRule="auto"/>
              <w:ind w:left="0" w:leftChars="0" w:firstLine="420" w:firstLineChars="200"/>
              <w:jc w:val="left"/>
              <w:textAlignment w:val="auto"/>
              <w:rPr>
                <w:rFonts w:hint="eastAsia"/>
                <w:szCs w:val="24"/>
              </w:rPr>
            </w:pPr>
            <w:r>
              <w:rPr>
                <w:rFonts w:hint="eastAsia"/>
                <w:szCs w:val="24"/>
              </w:rPr>
              <w:t>按照项目目标要求全</w:t>
            </w:r>
            <w:r>
              <w:rPr>
                <w:rFonts w:hint="eastAsia"/>
                <w:szCs w:val="24"/>
                <w:lang w:val="en-US" w:eastAsia="zh-CN"/>
              </w:rPr>
              <w:t xml:space="preserve"> </w:t>
            </w:r>
            <w:r>
              <w:rPr>
                <w:rFonts w:hint="eastAsia"/>
                <w:szCs w:val="24"/>
              </w:rPr>
              <w:t>面制定项目实施方案及任务分工，按期完成所有试验内容及考核指标；</w:t>
            </w:r>
          </w:p>
          <w:p w14:paraId="73C9FA04">
            <w:pPr>
              <w:keepNext w:val="0"/>
              <w:keepLines w:val="0"/>
              <w:pageBreakBefore w:val="0"/>
              <w:numPr>
                <w:ilvl w:val="0"/>
                <w:numId w:val="4"/>
              </w:numPr>
              <w:kinsoku/>
              <w:wordWrap/>
              <w:overflowPunct/>
              <w:topLinePunct w:val="0"/>
              <w:bidi w:val="0"/>
              <w:spacing w:line="240" w:lineRule="auto"/>
              <w:ind w:left="0" w:leftChars="0" w:firstLine="420" w:firstLineChars="200"/>
              <w:jc w:val="left"/>
              <w:textAlignment w:val="auto"/>
              <w:rPr>
                <w:rFonts w:hint="eastAsia"/>
                <w:szCs w:val="24"/>
              </w:rPr>
            </w:pPr>
            <w:r>
              <w:rPr>
                <w:rFonts w:hint="eastAsia"/>
                <w:szCs w:val="24"/>
              </w:rPr>
              <w:t>在项目配套资金、原料、试验设备、检测、人员调配等方面给予有力支持，保证项目顺利实施；</w:t>
            </w:r>
          </w:p>
          <w:p w14:paraId="65DD918F">
            <w:pPr>
              <w:keepNext w:val="0"/>
              <w:keepLines w:val="0"/>
              <w:pageBreakBefore w:val="0"/>
              <w:numPr>
                <w:ilvl w:val="0"/>
                <w:numId w:val="4"/>
              </w:numPr>
              <w:kinsoku/>
              <w:wordWrap/>
              <w:overflowPunct/>
              <w:topLinePunct w:val="0"/>
              <w:bidi w:val="0"/>
              <w:spacing w:line="240" w:lineRule="auto"/>
              <w:ind w:left="0" w:leftChars="0" w:firstLine="420" w:firstLineChars="200"/>
              <w:jc w:val="left"/>
              <w:textAlignment w:val="auto"/>
              <w:rPr>
                <w:rFonts w:hint="eastAsia"/>
                <w:szCs w:val="24"/>
              </w:rPr>
            </w:pPr>
            <w:r>
              <w:rPr>
                <w:rFonts w:hint="eastAsia"/>
                <w:szCs w:val="24"/>
              </w:rPr>
              <w:t xml:space="preserve">对项目研究过程中的各类科技成果进行及时申报及精细管理；推动项目技术的推广应用并进行跟踪反馈，促进项目技术研究成果的落地。 </w:t>
            </w:r>
          </w:p>
          <w:p w14:paraId="67C0E578">
            <w:pPr>
              <w:keepNext w:val="0"/>
              <w:keepLines w:val="0"/>
              <w:pageBreakBefore w:val="0"/>
              <w:numPr>
                <w:ilvl w:val="0"/>
                <w:numId w:val="0"/>
              </w:numPr>
              <w:kinsoku/>
              <w:wordWrap/>
              <w:overflowPunct/>
              <w:topLinePunct w:val="0"/>
              <w:bidi w:val="0"/>
              <w:spacing w:line="360" w:lineRule="exact"/>
              <w:jc w:val="left"/>
              <w:textAlignment w:val="auto"/>
              <w:rPr>
                <w:rFonts w:hint="eastAsia"/>
                <w:szCs w:val="24"/>
              </w:rPr>
            </w:pPr>
          </w:p>
        </w:tc>
      </w:tr>
    </w:tbl>
    <w:p w14:paraId="69FA6085">
      <w:pPr>
        <w:keepNext w:val="0"/>
        <w:keepLines w:val="0"/>
        <w:pageBreakBefore w:val="0"/>
        <w:kinsoku/>
        <w:wordWrap/>
        <w:overflowPunct/>
        <w:topLinePunct w:val="0"/>
        <w:bidi w:val="0"/>
        <w:spacing w:line="360" w:lineRule="exact"/>
        <w:textAlignment w:val="auto"/>
        <w:rPr>
          <w:b/>
          <w:bCs/>
          <w:color w:val="000000" w:themeColor="text1"/>
          <w:kern w:val="0"/>
          <w:szCs w:val="24"/>
          <w14:textFill>
            <w14:solidFill>
              <w14:schemeClr w14:val="tx1"/>
            </w14:solidFill>
          </w14:textFill>
        </w:rPr>
      </w:pPr>
      <w:r>
        <w:rPr>
          <w:rFonts w:hint="eastAsia"/>
          <w:b/>
          <w:bCs/>
          <w:color w:val="000000" w:themeColor="text1"/>
          <w:kern w:val="0"/>
          <w:szCs w:val="24"/>
          <w14:textFill>
            <w14:solidFill>
              <w14:schemeClr w14:val="tx1"/>
            </w14:solidFill>
          </w14:textFill>
        </w:rPr>
        <w:t>九</w:t>
      </w:r>
      <w:r>
        <w:rPr>
          <w:b/>
          <w:bCs/>
          <w:color w:val="000000" w:themeColor="text1"/>
          <w:kern w:val="0"/>
          <w:szCs w:val="24"/>
          <w14:textFill>
            <w14:solidFill>
              <w14:schemeClr w14:val="tx1"/>
            </w14:solidFill>
          </w14:textFill>
        </w:rPr>
        <w:t>、完成人合作关系说明</w:t>
      </w:r>
    </w:p>
    <w:p w14:paraId="34EA09D0">
      <w:pPr>
        <w:pStyle w:val="2"/>
        <w:keepNext w:val="0"/>
        <w:keepLines w:val="0"/>
        <w:pageBreakBefore w:val="0"/>
        <w:kinsoku/>
        <w:wordWrap/>
        <w:overflowPunct/>
        <w:topLinePunct w:val="0"/>
        <w:bidi w:val="0"/>
        <w:spacing w:line="360" w:lineRule="exact"/>
        <w:ind w:firstLine="420"/>
        <w:textAlignment w:val="auto"/>
        <w:rPr>
          <w:szCs w:val="24"/>
        </w:rPr>
      </w:pPr>
      <w:r>
        <w:rPr>
          <w:rFonts w:ascii="Times New Roman" w:hAnsi="Times New Roman" w:cs="Times New Roman"/>
          <w:color w:val="000000" w:themeColor="text1"/>
          <w:sz w:val="21"/>
          <w:szCs w:val="24"/>
          <w14:textFill>
            <w14:solidFill>
              <w14:schemeClr w14:val="tx1"/>
            </w14:solidFill>
          </w14:textFill>
        </w:rPr>
        <w:t>项目主要完成人员有</w:t>
      </w:r>
      <w:r>
        <w:rPr>
          <w:rFonts w:hint="eastAsia" w:ascii="Times New Roman" w:hAnsi="Times New Roman" w:cs="Times New Roman"/>
          <w:color w:val="000000" w:themeColor="text1"/>
          <w:sz w:val="21"/>
          <w:szCs w:val="24"/>
          <w:lang w:val="en-US" w:eastAsia="zh-CN"/>
          <w14:textFill>
            <w14:solidFill>
              <w14:schemeClr w14:val="tx1"/>
            </w14:solidFill>
          </w14:textFill>
        </w:rPr>
        <w:t>厉学武</w:t>
      </w:r>
      <w:r>
        <w:rPr>
          <w:rFonts w:hint="eastAsia" w:ascii="Times New Roman" w:hAnsi="Times New Roman" w:cs="Times New Roman"/>
          <w:color w:val="000000" w:themeColor="text1"/>
          <w:sz w:val="21"/>
          <w:szCs w:val="24"/>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李晶</w:t>
      </w:r>
      <w:r>
        <w:rPr>
          <w:rFonts w:hint="eastAsia" w:ascii="Times New Roman" w:hAnsi="Times New Roman" w:cs="Times New Roman"/>
          <w:color w:val="000000" w:themeColor="text1"/>
          <w:sz w:val="21"/>
          <w:szCs w:val="24"/>
          <w14:textFill>
            <w14:solidFill>
              <w14:schemeClr w14:val="tx1"/>
            </w14:solidFill>
          </w14:textFill>
        </w:rPr>
        <w:t>、</w:t>
      </w:r>
      <w:r>
        <w:rPr>
          <w:rFonts w:ascii="Times New Roman" w:hAnsi="Times New Roman" w:cs="Times New Roman"/>
          <w:color w:val="000000" w:themeColor="text1"/>
          <w:sz w:val="21"/>
          <w:szCs w:val="24"/>
          <w14:textFill>
            <w14:solidFill>
              <w14:schemeClr w14:val="tx1"/>
            </w14:solidFill>
          </w14:textFill>
        </w:rPr>
        <w:t>席莎</w:t>
      </w:r>
      <w:r>
        <w:rPr>
          <w:rFonts w:hint="eastAsia" w:ascii="Times New Roman" w:hAnsi="Times New Roman" w:cs="Times New Roman"/>
          <w:color w:val="000000" w:themeColor="text1"/>
          <w:sz w:val="21"/>
          <w:szCs w:val="24"/>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张晓</w:t>
      </w:r>
      <w:r>
        <w:rPr>
          <w:rFonts w:hint="eastAsia" w:ascii="Times New Roman" w:hAnsi="Times New Roman" w:cs="Times New Roman"/>
          <w:color w:val="000000" w:themeColor="text1"/>
          <w:sz w:val="21"/>
          <w:szCs w:val="24"/>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崔玉青</w:t>
      </w:r>
      <w:r>
        <w:rPr>
          <w:rFonts w:hint="eastAsia" w:ascii="Times New Roman" w:hAnsi="Times New Roman" w:cs="Times New Roman"/>
          <w:color w:val="000000" w:themeColor="text1"/>
          <w:sz w:val="21"/>
          <w:szCs w:val="24"/>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唐军利</w:t>
      </w:r>
      <w:r>
        <w:rPr>
          <w:rFonts w:hint="eastAsia" w:ascii="Times New Roman" w:hAnsi="Times New Roman" w:cs="Times New Roman"/>
          <w:color w:val="000000" w:themeColor="text1"/>
          <w:sz w:val="21"/>
          <w:szCs w:val="24"/>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杨秦莉7</w:t>
      </w:r>
      <w:r>
        <w:rPr>
          <w:rFonts w:ascii="Times New Roman" w:hAnsi="Times New Roman" w:cs="Times New Roman"/>
          <w:color w:val="000000" w:themeColor="text1"/>
          <w:sz w:val="21"/>
          <w:szCs w:val="24"/>
          <w14:textFill>
            <w14:solidFill>
              <w14:schemeClr w14:val="tx1"/>
            </w14:solidFill>
          </w14:textFill>
        </w:rPr>
        <w:t>人</w:t>
      </w:r>
      <w:r>
        <w:rPr>
          <w:rFonts w:hint="eastAsia" w:ascii="Times New Roman" w:hAnsi="Times New Roman" w:cs="Times New Roman"/>
          <w:color w:val="000000" w:themeColor="text1"/>
          <w:sz w:val="21"/>
          <w:szCs w:val="24"/>
          <w14:textFill>
            <w14:solidFill>
              <w14:schemeClr w14:val="tx1"/>
            </w14:solidFill>
          </w14:textFill>
        </w:rPr>
        <w:t>，这些人员以多种方式参与了项目实施，包括</w:t>
      </w:r>
      <w:r>
        <w:rPr>
          <w:rFonts w:ascii="Times New Roman" w:hAnsi="Times New Roman" w:cs="Times New Roman"/>
          <w:color w:val="000000" w:themeColor="text1"/>
          <w:sz w:val="21"/>
          <w:szCs w:val="24"/>
          <w14:textFill>
            <w14:solidFill>
              <w14:schemeClr w14:val="tx1"/>
            </w14:solidFill>
          </w14:textFill>
        </w:rPr>
        <w:t>共同立项、</w:t>
      </w:r>
      <w:r>
        <w:rPr>
          <w:rFonts w:hint="eastAsia" w:ascii="Times New Roman" w:hAnsi="Times New Roman" w:cs="Times New Roman"/>
          <w:color w:val="000000" w:themeColor="text1"/>
          <w:sz w:val="21"/>
          <w:szCs w:val="24"/>
          <w14:textFill>
            <w14:solidFill>
              <w14:schemeClr w14:val="tx1"/>
            </w14:solidFill>
          </w14:textFill>
        </w:rPr>
        <w:t>设计、实施、</w:t>
      </w:r>
      <w:r>
        <w:rPr>
          <w:rFonts w:hint="eastAsia" w:ascii="Times New Roman" w:hAnsi="Times New Roman" w:cs="Times New Roman"/>
          <w:color w:val="000000" w:themeColor="text1"/>
          <w:sz w:val="21"/>
          <w:szCs w:val="24"/>
          <w:lang w:val="en-US" w:eastAsia="zh-CN"/>
          <w14:textFill>
            <w14:solidFill>
              <w14:schemeClr w14:val="tx1"/>
            </w14:solidFill>
          </w14:textFill>
        </w:rPr>
        <w:t>申请专利</w:t>
      </w:r>
      <w:r>
        <w:rPr>
          <w:rFonts w:hint="eastAsia" w:ascii="Times New Roman" w:hAnsi="Times New Roman" w:cs="Times New Roman"/>
          <w:color w:val="000000" w:themeColor="text1"/>
          <w:sz w:val="21"/>
          <w:szCs w:val="24"/>
          <w14:textFill>
            <w14:solidFill>
              <w14:schemeClr w14:val="tx1"/>
            </w14:solidFill>
          </w14:textFill>
        </w:rPr>
        <w:t>、</w:t>
      </w:r>
      <w:r>
        <w:rPr>
          <w:rFonts w:ascii="Times New Roman" w:hAnsi="Times New Roman" w:cs="Times New Roman"/>
          <w:color w:val="000000" w:themeColor="text1"/>
          <w:sz w:val="21"/>
          <w:szCs w:val="24"/>
          <w14:textFill>
            <w14:solidFill>
              <w14:schemeClr w14:val="tx1"/>
            </w14:solidFill>
          </w14:textFill>
        </w:rPr>
        <w:t>合著论文</w:t>
      </w:r>
      <w:r>
        <w:rPr>
          <w:rFonts w:hint="eastAsia" w:ascii="Times New Roman" w:hAnsi="Times New Roman" w:cs="Times New Roman"/>
          <w:color w:val="000000" w:themeColor="text1"/>
          <w:sz w:val="21"/>
          <w:szCs w:val="24"/>
          <w14:textFill>
            <w14:solidFill>
              <w14:schemeClr w14:val="tx1"/>
            </w14:solidFill>
          </w14:textFill>
        </w:rPr>
        <w:t>及</w:t>
      </w:r>
      <w:r>
        <w:rPr>
          <w:rFonts w:ascii="Times New Roman" w:hAnsi="Times New Roman" w:cs="Times New Roman"/>
          <w:color w:val="000000" w:themeColor="text1"/>
          <w:sz w:val="21"/>
          <w:szCs w:val="24"/>
          <w14:textFill>
            <w14:solidFill>
              <w14:schemeClr w14:val="tx1"/>
            </w14:solidFill>
          </w14:textFill>
        </w:rPr>
        <w:t>报告撰写</w:t>
      </w:r>
      <w:r>
        <w:rPr>
          <w:rFonts w:hint="eastAsia" w:ascii="Times New Roman" w:hAnsi="Times New Roman" w:cs="Times New Roman"/>
          <w:color w:val="000000" w:themeColor="text1"/>
          <w:sz w:val="21"/>
          <w:szCs w:val="24"/>
          <w14:textFill>
            <w14:solidFill>
              <w14:schemeClr w14:val="tx1"/>
            </w14:solidFill>
          </w14:textFill>
        </w:rPr>
        <w:t>等，集体</w:t>
      </w:r>
      <w:r>
        <w:rPr>
          <w:rFonts w:ascii="Times New Roman" w:hAnsi="Times New Roman" w:cs="Times New Roman"/>
          <w:color w:val="000000" w:themeColor="text1"/>
          <w:sz w:val="21"/>
          <w:szCs w:val="24"/>
          <w14:textFill>
            <w14:solidFill>
              <w14:schemeClr w14:val="tx1"/>
            </w14:solidFill>
          </w14:textFill>
        </w:rPr>
        <w:t>成果为</w:t>
      </w:r>
      <w:r>
        <w:rPr>
          <w:rFonts w:hint="eastAsia" w:ascii="Times New Roman" w:hAnsi="Times New Roman" w:cs="Times New Roman"/>
          <w:color w:val="000000" w:themeColor="text1"/>
          <w:sz w:val="21"/>
          <w:szCs w:val="24"/>
          <w:lang w:eastAsia="zh-CN"/>
          <w14:textFill>
            <w14:solidFill>
              <w14:schemeClr w14:val="tx1"/>
            </w14:solidFill>
          </w14:textFill>
        </w:rPr>
        <w:t>《</w:t>
      </w:r>
      <w:r>
        <w:rPr>
          <w:rFonts w:hint="eastAsia" w:ascii="Times New Roman" w:hAnsi="Times New Roman" w:cs="Times New Roman"/>
          <w:color w:val="000000" w:themeColor="text1"/>
          <w:sz w:val="21"/>
          <w:szCs w:val="24"/>
          <w:lang w:val="en-US" w:eastAsia="zh-CN"/>
          <w14:textFill>
            <w14:solidFill>
              <w14:schemeClr w14:val="tx1"/>
            </w14:solidFill>
          </w14:textFill>
        </w:rPr>
        <w:t>十二钼酸铵制备新工艺开发及其粉冶特性研究与应用》项目</w:t>
      </w:r>
      <w:r>
        <w:rPr>
          <w:rFonts w:ascii="Times New Roman" w:hAnsi="Times New Roman" w:cs="Times New Roman"/>
          <w:color w:val="000000" w:themeColor="text1"/>
          <w:sz w:val="21"/>
          <w:szCs w:val="24"/>
          <w14:textFill>
            <w14:solidFill>
              <w14:schemeClr w14:val="tx1"/>
            </w14:solidFill>
          </w14:textFill>
        </w:rPr>
        <w:t>提供了科学依据。</w:t>
      </w:r>
    </w:p>
    <w:p w14:paraId="778EEE91">
      <w:pPr>
        <w:keepNext w:val="0"/>
        <w:keepLines w:val="0"/>
        <w:pageBreakBefore w:val="0"/>
        <w:kinsoku/>
        <w:wordWrap/>
        <w:overflowPunct/>
        <w:topLinePunct w:val="0"/>
        <w:bidi w:val="0"/>
        <w:spacing w:line="360" w:lineRule="exact"/>
        <w:textAlignment w:val="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十、完成单位合作关系说明</w:t>
      </w:r>
    </w:p>
    <w:p w14:paraId="1BD5A74D">
      <w:pPr>
        <w:pStyle w:val="2"/>
        <w:keepNext w:val="0"/>
        <w:keepLines w:val="0"/>
        <w:pageBreakBefore w:val="0"/>
        <w:kinsoku/>
        <w:wordWrap/>
        <w:overflowPunct/>
        <w:topLinePunct w:val="0"/>
        <w:bidi w:val="0"/>
        <w:adjustRightInd w:val="0"/>
        <w:snapToGrid w:val="0"/>
        <w:spacing w:line="360" w:lineRule="exact"/>
        <w:ind w:firstLine="420"/>
        <w:textAlignment w:val="auto"/>
        <w:rPr>
          <w:szCs w:val="24"/>
        </w:rPr>
      </w:pPr>
      <w:r>
        <w:rPr>
          <w:rFonts w:hint="eastAsia" w:ascii="宋体" w:hAnsi="宋体" w:cs="宋体"/>
          <w:sz w:val="21"/>
          <w:szCs w:val="21"/>
          <w:lang w:val="en-US" w:eastAsia="zh-CN"/>
        </w:rPr>
        <w:t>本项目由金堆城钼业集团有限公司单独完成。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52774"/>
    </w:sdtPr>
    <w:sdtContent>
      <w:p w14:paraId="17FA42C2">
        <w:pPr>
          <w:pStyle w:val="5"/>
          <w:jc w:val="center"/>
        </w:pPr>
        <w:r>
          <w:fldChar w:fldCharType="begin"/>
        </w:r>
        <w:r>
          <w:instrText xml:space="preserve">PAGE   \* MERGEFORMAT</w:instrText>
        </w:r>
        <w:r>
          <w:fldChar w:fldCharType="separate"/>
        </w:r>
        <w:r>
          <w:rPr>
            <w:lang w:val="zh-CN"/>
          </w:rPr>
          <w:t>1</w:t>
        </w:r>
        <w:r>
          <w:fldChar w:fldCharType="end"/>
        </w:r>
      </w:p>
    </w:sdtContent>
  </w:sdt>
  <w:p w14:paraId="0804592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41120"/>
    <w:multiLevelType w:val="singleLevel"/>
    <w:tmpl w:val="B8E41120"/>
    <w:lvl w:ilvl="0" w:tentative="0">
      <w:start w:val="1"/>
      <w:numFmt w:val="decimal"/>
      <w:suff w:val="nothing"/>
      <w:lvlText w:val="%1．"/>
      <w:lvlJc w:val="left"/>
      <w:pPr>
        <w:ind w:left="0" w:firstLine="400"/>
      </w:pPr>
      <w:rPr>
        <w:rFonts w:hint="default"/>
      </w:rPr>
    </w:lvl>
  </w:abstractNum>
  <w:abstractNum w:abstractNumId="1">
    <w:nsid w:val="BDCFA986"/>
    <w:multiLevelType w:val="singleLevel"/>
    <w:tmpl w:val="BDCFA986"/>
    <w:lvl w:ilvl="0" w:tentative="0">
      <w:start w:val="1"/>
      <w:numFmt w:val="decimal"/>
      <w:suff w:val="nothing"/>
      <w:lvlText w:val="%1．"/>
      <w:lvlJc w:val="left"/>
      <w:pPr>
        <w:ind w:left="0" w:firstLine="400"/>
      </w:pPr>
      <w:rPr>
        <w:rFonts w:hint="default"/>
      </w:rPr>
    </w:lvl>
  </w:abstractNum>
  <w:abstractNum w:abstractNumId="2">
    <w:nsid w:val="DE7D33DB"/>
    <w:multiLevelType w:val="singleLevel"/>
    <w:tmpl w:val="DE7D33DB"/>
    <w:lvl w:ilvl="0" w:tentative="0">
      <w:start w:val="1"/>
      <w:numFmt w:val="decimal"/>
      <w:suff w:val="nothing"/>
      <w:lvlText w:val="%1．"/>
      <w:lvlJc w:val="left"/>
      <w:pPr>
        <w:ind w:left="0" w:firstLine="400"/>
      </w:pPr>
      <w:rPr>
        <w:rFonts w:hint="default"/>
      </w:rPr>
    </w:lvl>
  </w:abstractNum>
  <w:abstractNum w:abstractNumId="3">
    <w:nsid w:val="7BC0D5E1"/>
    <w:multiLevelType w:val="singleLevel"/>
    <w:tmpl w:val="7BC0D5E1"/>
    <w:lvl w:ilvl="0" w:tentative="0">
      <w:start w:val="6"/>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UwNjS3sDQyMjI0NDBU0lEKTi0uzszPAykwrgUAUTfZQywAAAA="/>
  </w:docVars>
  <w:rsids>
    <w:rsidRoot w:val="00172A27"/>
    <w:rsid w:val="00032FF9"/>
    <w:rsid w:val="0004343A"/>
    <w:rsid w:val="00064577"/>
    <w:rsid w:val="00067EDE"/>
    <w:rsid w:val="000860EE"/>
    <w:rsid w:val="000C356C"/>
    <w:rsid w:val="000D063A"/>
    <w:rsid w:val="000D1323"/>
    <w:rsid w:val="0010145E"/>
    <w:rsid w:val="00110A9D"/>
    <w:rsid w:val="001118AA"/>
    <w:rsid w:val="0011235E"/>
    <w:rsid w:val="00113E5B"/>
    <w:rsid w:val="00126CB9"/>
    <w:rsid w:val="00142A8D"/>
    <w:rsid w:val="00145250"/>
    <w:rsid w:val="00172A27"/>
    <w:rsid w:val="00175053"/>
    <w:rsid w:val="00185640"/>
    <w:rsid w:val="0019026C"/>
    <w:rsid w:val="00193A79"/>
    <w:rsid w:val="001A301B"/>
    <w:rsid w:val="001F3370"/>
    <w:rsid w:val="002059CF"/>
    <w:rsid w:val="00251051"/>
    <w:rsid w:val="00253C53"/>
    <w:rsid w:val="00262FCD"/>
    <w:rsid w:val="002869FE"/>
    <w:rsid w:val="002A1A73"/>
    <w:rsid w:val="002B2A09"/>
    <w:rsid w:val="002B3F94"/>
    <w:rsid w:val="002D180C"/>
    <w:rsid w:val="00347B51"/>
    <w:rsid w:val="00360B7E"/>
    <w:rsid w:val="0036544A"/>
    <w:rsid w:val="00365FD1"/>
    <w:rsid w:val="00384F1D"/>
    <w:rsid w:val="00392C2E"/>
    <w:rsid w:val="003E33A6"/>
    <w:rsid w:val="003E6DC6"/>
    <w:rsid w:val="003E7F09"/>
    <w:rsid w:val="00421FC9"/>
    <w:rsid w:val="00437BF0"/>
    <w:rsid w:val="00474B08"/>
    <w:rsid w:val="004A4007"/>
    <w:rsid w:val="004A5C56"/>
    <w:rsid w:val="004B4B1A"/>
    <w:rsid w:val="004D5DBB"/>
    <w:rsid w:val="004D6580"/>
    <w:rsid w:val="004D7B7B"/>
    <w:rsid w:val="00500F7C"/>
    <w:rsid w:val="00500FD3"/>
    <w:rsid w:val="0051106B"/>
    <w:rsid w:val="00515306"/>
    <w:rsid w:val="00526947"/>
    <w:rsid w:val="00526E4D"/>
    <w:rsid w:val="005442CE"/>
    <w:rsid w:val="00556DF7"/>
    <w:rsid w:val="00563768"/>
    <w:rsid w:val="00595818"/>
    <w:rsid w:val="00603D6C"/>
    <w:rsid w:val="006577E1"/>
    <w:rsid w:val="00667BE6"/>
    <w:rsid w:val="00672077"/>
    <w:rsid w:val="006721CA"/>
    <w:rsid w:val="00694DD7"/>
    <w:rsid w:val="006A601D"/>
    <w:rsid w:val="006A6223"/>
    <w:rsid w:val="006B710D"/>
    <w:rsid w:val="006E0082"/>
    <w:rsid w:val="007A346B"/>
    <w:rsid w:val="007A783D"/>
    <w:rsid w:val="007E4594"/>
    <w:rsid w:val="00801478"/>
    <w:rsid w:val="00826B44"/>
    <w:rsid w:val="00843714"/>
    <w:rsid w:val="00850E2D"/>
    <w:rsid w:val="0085190F"/>
    <w:rsid w:val="00865242"/>
    <w:rsid w:val="00872FB5"/>
    <w:rsid w:val="008737C8"/>
    <w:rsid w:val="008A16AF"/>
    <w:rsid w:val="008A25AB"/>
    <w:rsid w:val="008A7F3E"/>
    <w:rsid w:val="008D4B8C"/>
    <w:rsid w:val="008D56A9"/>
    <w:rsid w:val="008F429C"/>
    <w:rsid w:val="0090106E"/>
    <w:rsid w:val="009069CF"/>
    <w:rsid w:val="009242CA"/>
    <w:rsid w:val="0095531F"/>
    <w:rsid w:val="00962565"/>
    <w:rsid w:val="00984C3A"/>
    <w:rsid w:val="00984D71"/>
    <w:rsid w:val="00996C6F"/>
    <w:rsid w:val="009974D0"/>
    <w:rsid w:val="009A1A56"/>
    <w:rsid w:val="009A1F36"/>
    <w:rsid w:val="009D0560"/>
    <w:rsid w:val="009D48C6"/>
    <w:rsid w:val="009F052D"/>
    <w:rsid w:val="00A1037E"/>
    <w:rsid w:val="00A26AE2"/>
    <w:rsid w:val="00A461BE"/>
    <w:rsid w:val="00A50954"/>
    <w:rsid w:val="00AD6EEA"/>
    <w:rsid w:val="00B46845"/>
    <w:rsid w:val="00B546EA"/>
    <w:rsid w:val="00B57391"/>
    <w:rsid w:val="00B5799E"/>
    <w:rsid w:val="00B74DEA"/>
    <w:rsid w:val="00B83795"/>
    <w:rsid w:val="00B95A6E"/>
    <w:rsid w:val="00BA1D6C"/>
    <w:rsid w:val="00BD6C27"/>
    <w:rsid w:val="00BD7A93"/>
    <w:rsid w:val="00BF20AD"/>
    <w:rsid w:val="00C07B4F"/>
    <w:rsid w:val="00C40146"/>
    <w:rsid w:val="00C558EA"/>
    <w:rsid w:val="00C75B73"/>
    <w:rsid w:val="00C80F43"/>
    <w:rsid w:val="00C87FC7"/>
    <w:rsid w:val="00CA17CF"/>
    <w:rsid w:val="00CA1B94"/>
    <w:rsid w:val="00CB5379"/>
    <w:rsid w:val="00CD2E80"/>
    <w:rsid w:val="00CD6436"/>
    <w:rsid w:val="00CD76A6"/>
    <w:rsid w:val="00CE5ED7"/>
    <w:rsid w:val="00CF1F33"/>
    <w:rsid w:val="00D048A1"/>
    <w:rsid w:val="00D23E87"/>
    <w:rsid w:val="00D241A6"/>
    <w:rsid w:val="00D461A0"/>
    <w:rsid w:val="00D50FE8"/>
    <w:rsid w:val="00D56986"/>
    <w:rsid w:val="00D82547"/>
    <w:rsid w:val="00DD17A6"/>
    <w:rsid w:val="00DE1228"/>
    <w:rsid w:val="00E029C5"/>
    <w:rsid w:val="00E140A6"/>
    <w:rsid w:val="00E15A5A"/>
    <w:rsid w:val="00E27428"/>
    <w:rsid w:val="00E55933"/>
    <w:rsid w:val="00E63AC5"/>
    <w:rsid w:val="00E802D7"/>
    <w:rsid w:val="00EA0737"/>
    <w:rsid w:val="00EA1405"/>
    <w:rsid w:val="00EB6DA8"/>
    <w:rsid w:val="00EC26F1"/>
    <w:rsid w:val="00EE115B"/>
    <w:rsid w:val="00EE2887"/>
    <w:rsid w:val="00EF540A"/>
    <w:rsid w:val="00F11A1B"/>
    <w:rsid w:val="00F71399"/>
    <w:rsid w:val="00F77DE7"/>
    <w:rsid w:val="00F81037"/>
    <w:rsid w:val="00F859B2"/>
    <w:rsid w:val="00F91183"/>
    <w:rsid w:val="00F9578D"/>
    <w:rsid w:val="00FB131E"/>
    <w:rsid w:val="00FB486A"/>
    <w:rsid w:val="00FD206B"/>
    <w:rsid w:val="0183552B"/>
    <w:rsid w:val="03C9065F"/>
    <w:rsid w:val="05C22E3B"/>
    <w:rsid w:val="05F7479A"/>
    <w:rsid w:val="060C4B01"/>
    <w:rsid w:val="06DD0EF0"/>
    <w:rsid w:val="07B13BB2"/>
    <w:rsid w:val="07F3505F"/>
    <w:rsid w:val="090218C4"/>
    <w:rsid w:val="0958005D"/>
    <w:rsid w:val="09B82923"/>
    <w:rsid w:val="09FC121D"/>
    <w:rsid w:val="0ABA0AC4"/>
    <w:rsid w:val="0B732823"/>
    <w:rsid w:val="0D7F02AE"/>
    <w:rsid w:val="0E367D31"/>
    <w:rsid w:val="0F0942D3"/>
    <w:rsid w:val="123D1BF8"/>
    <w:rsid w:val="13CA2D1A"/>
    <w:rsid w:val="14890135"/>
    <w:rsid w:val="150D7A48"/>
    <w:rsid w:val="156320DF"/>
    <w:rsid w:val="16E80C72"/>
    <w:rsid w:val="17287F36"/>
    <w:rsid w:val="19543972"/>
    <w:rsid w:val="19DF7050"/>
    <w:rsid w:val="1A3365C5"/>
    <w:rsid w:val="1A4576FC"/>
    <w:rsid w:val="1AC72096"/>
    <w:rsid w:val="1BC3580A"/>
    <w:rsid w:val="1D964DAB"/>
    <w:rsid w:val="20593ADF"/>
    <w:rsid w:val="206C5CF1"/>
    <w:rsid w:val="21652785"/>
    <w:rsid w:val="21FD5616"/>
    <w:rsid w:val="24C73A7D"/>
    <w:rsid w:val="25F9222F"/>
    <w:rsid w:val="266B1AF3"/>
    <w:rsid w:val="273E1D5F"/>
    <w:rsid w:val="27770EB8"/>
    <w:rsid w:val="2A657A74"/>
    <w:rsid w:val="2C3C386D"/>
    <w:rsid w:val="2E017E6F"/>
    <w:rsid w:val="2E276A77"/>
    <w:rsid w:val="3052497A"/>
    <w:rsid w:val="31A21A47"/>
    <w:rsid w:val="32A40878"/>
    <w:rsid w:val="32EA5630"/>
    <w:rsid w:val="33050749"/>
    <w:rsid w:val="3673119B"/>
    <w:rsid w:val="37A7536A"/>
    <w:rsid w:val="37AF724F"/>
    <w:rsid w:val="391973F2"/>
    <w:rsid w:val="3B817E0A"/>
    <w:rsid w:val="3BA856A9"/>
    <w:rsid w:val="3D1B6DFC"/>
    <w:rsid w:val="3D2110D9"/>
    <w:rsid w:val="3DA52B6A"/>
    <w:rsid w:val="3DB74385"/>
    <w:rsid w:val="3E155558"/>
    <w:rsid w:val="3E191521"/>
    <w:rsid w:val="400847EE"/>
    <w:rsid w:val="40930CAB"/>
    <w:rsid w:val="41541F8F"/>
    <w:rsid w:val="42C160B0"/>
    <w:rsid w:val="43574906"/>
    <w:rsid w:val="43921F9B"/>
    <w:rsid w:val="43E31A2D"/>
    <w:rsid w:val="448F0962"/>
    <w:rsid w:val="44D86D67"/>
    <w:rsid w:val="44F123B9"/>
    <w:rsid w:val="454C48D8"/>
    <w:rsid w:val="46297141"/>
    <w:rsid w:val="47EE5F25"/>
    <w:rsid w:val="4879537E"/>
    <w:rsid w:val="49521244"/>
    <w:rsid w:val="49CA41B5"/>
    <w:rsid w:val="4AB33501"/>
    <w:rsid w:val="4BA9514C"/>
    <w:rsid w:val="4C2832E3"/>
    <w:rsid w:val="4C8C5620"/>
    <w:rsid w:val="4DA16EA9"/>
    <w:rsid w:val="4DB576BC"/>
    <w:rsid w:val="4EF23735"/>
    <w:rsid w:val="50153B7F"/>
    <w:rsid w:val="508303F9"/>
    <w:rsid w:val="51E61D86"/>
    <w:rsid w:val="52241D53"/>
    <w:rsid w:val="5313008E"/>
    <w:rsid w:val="549857E7"/>
    <w:rsid w:val="55224A2B"/>
    <w:rsid w:val="55690479"/>
    <w:rsid w:val="57390153"/>
    <w:rsid w:val="5A1845B3"/>
    <w:rsid w:val="5ABF6AE8"/>
    <w:rsid w:val="5BC046F6"/>
    <w:rsid w:val="604148BA"/>
    <w:rsid w:val="624B51DE"/>
    <w:rsid w:val="627830C8"/>
    <w:rsid w:val="6288015D"/>
    <w:rsid w:val="64EC7790"/>
    <w:rsid w:val="64FE02F0"/>
    <w:rsid w:val="65621CDC"/>
    <w:rsid w:val="679F6B0A"/>
    <w:rsid w:val="697869D0"/>
    <w:rsid w:val="69912C48"/>
    <w:rsid w:val="69B562DB"/>
    <w:rsid w:val="6A340F89"/>
    <w:rsid w:val="6A973C6D"/>
    <w:rsid w:val="6B3529D8"/>
    <w:rsid w:val="6B99345E"/>
    <w:rsid w:val="6C613F7C"/>
    <w:rsid w:val="6D0D4BB1"/>
    <w:rsid w:val="6D317F1B"/>
    <w:rsid w:val="73D13B97"/>
    <w:rsid w:val="762C4702"/>
    <w:rsid w:val="76F83C9E"/>
    <w:rsid w:val="77A47B08"/>
    <w:rsid w:val="77EA0852"/>
    <w:rsid w:val="78880AE2"/>
    <w:rsid w:val="79AF61E9"/>
    <w:rsid w:val="7A4853D6"/>
    <w:rsid w:val="7A822B2C"/>
    <w:rsid w:val="7B093D4A"/>
    <w:rsid w:val="7B7D0AC0"/>
    <w:rsid w:val="7B891713"/>
    <w:rsid w:val="7CA5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pPr>
      <w:spacing w:line="360" w:lineRule="auto"/>
      <w:ind w:firstLine="480" w:firstLineChars="200"/>
    </w:pPr>
    <w:rPr>
      <w:rFonts w:ascii="仿宋_GB2312"/>
      <w:sz w:val="24"/>
    </w:rPr>
  </w:style>
  <w:style w:type="paragraph" w:styleId="3">
    <w:name w:val="Date"/>
    <w:basedOn w:val="1"/>
    <w:next w:val="1"/>
    <w:link w:val="18"/>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rPr>
      <w:sz w:val="24"/>
      <w:szCs w:val="24"/>
    </w:rPr>
  </w:style>
  <w:style w:type="table" w:styleId="9">
    <w:name w:val="Table Grid"/>
    <w:basedOn w:val="8"/>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unhideWhenUsed/>
    <w:qFormat/>
    <w:uiPriority w:val="99"/>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fontstyle01"/>
    <w:basedOn w:val="10"/>
    <w:qFormat/>
    <w:uiPriority w:val="0"/>
    <w:rPr>
      <w:rFonts w:hint="eastAsia" w:ascii="宋体" w:hAnsi="宋体" w:eastAsia="宋体"/>
      <w:color w:val="000000"/>
      <w:sz w:val="30"/>
      <w:szCs w:val="30"/>
    </w:rPr>
  </w:style>
  <w:style w:type="character" w:customStyle="1" w:styleId="16">
    <w:name w:val="纯文本 字符"/>
    <w:basedOn w:val="10"/>
    <w:semiHidden/>
    <w:qFormat/>
    <w:uiPriority w:val="99"/>
    <w:rPr>
      <w:rFonts w:hAnsi="Courier New" w:cs="Courier New" w:asciiTheme="minorEastAsia"/>
      <w:szCs w:val="20"/>
    </w:rPr>
  </w:style>
  <w:style w:type="character" w:customStyle="1" w:styleId="17">
    <w:name w:val="纯文本 Char"/>
    <w:link w:val="2"/>
    <w:qFormat/>
    <w:uiPriority w:val="0"/>
    <w:rPr>
      <w:rFonts w:ascii="仿宋_GB2312" w:hAnsi="Times New Roman" w:eastAsia="宋体" w:cs="Times New Roman"/>
      <w:sz w:val="24"/>
      <w:szCs w:val="20"/>
    </w:rPr>
  </w:style>
  <w:style w:type="character" w:customStyle="1" w:styleId="18">
    <w:name w:val="日期 Char"/>
    <w:basedOn w:val="10"/>
    <w:link w:val="3"/>
    <w:semiHidden/>
    <w:qFormat/>
    <w:uiPriority w:val="99"/>
    <w:rPr>
      <w:rFonts w:ascii="Times New Roman" w:hAnsi="Times New Roman" w:eastAsia="宋体" w:cs="Times New Roman"/>
      <w:szCs w:val="20"/>
    </w:rPr>
  </w:style>
  <w:style w:type="character" w:customStyle="1" w:styleId="19">
    <w:name w:val="批注框文本 Char"/>
    <w:basedOn w:val="10"/>
    <w:link w:val="4"/>
    <w:semiHidden/>
    <w:qFormat/>
    <w:uiPriority w:val="99"/>
    <w:rPr>
      <w:rFonts w:ascii="Times New Roman" w:hAnsi="Times New Roman"/>
      <w:kern w:val="2"/>
      <w:sz w:val="18"/>
      <w:szCs w:val="18"/>
    </w:rPr>
  </w:style>
  <w:style w:type="paragraph" w:styleId="20">
    <w:name w:val="List Paragraph"/>
    <w:basedOn w:val="1"/>
    <w:qFormat/>
    <w:uiPriority w:val="99"/>
    <w:pPr>
      <w:ind w:firstLine="420" w:firstLineChars="200"/>
    </w:pPr>
  </w:style>
  <w:style w:type="paragraph" w:customStyle="1" w:styleId="21">
    <w:name w:val="0正文"/>
    <w:basedOn w:val="1"/>
    <w:link w:val="22"/>
    <w:qFormat/>
    <w:uiPriority w:val="0"/>
    <w:pPr>
      <w:ind w:firstLine="200" w:firstLineChars="200"/>
    </w:pPr>
    <w:rPr>
      <w:szCs w:val="22"/>
    </w:rPr>
  </w:style>
  <w:style w:type="character" w:customStyle="1" w:styleId="22">
    <w:name w:val="0正文 Char"/>
    <w:link w:val="21"/>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2B2E-3595-4AA7-9B06-57D048AF355A}">
  <ds:schemaRefs/>
</ds:datastoreItem>
</file>

<file path=docProps/app.xml><?xml version="1.0" encoding="utf-8"?>
<Properties xmlns="http://schemas.openxmlformats.org/officeDocument/2006/extended-properties" xmlns:vt="http://schemas.openxmlformats.org/officeDocument/2006/docPropsVTypes">
  <Template>Normal</Template>
  <Pages>6</Pages>
  <Words>5375</Words>
  <Characters>5830</Characters>
  <Lines>30</Lines>
  <Paragraphs>8</Paragraphs>
  <TotalTime>0</TotalTime>
  <ScaleCrop>false</ScaleCrop>
  <LinksUpToDate>false</LinksUpToDate>
  <CharactersWithSpaces>5875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2019-07-02T01:32:00Z</dcterms:created>
  <dc:creator>Wei ZHAO</dc:creator>
  <cp:lastModifiedBy>焦昊</cp:lastModifiedBy>
  <cp:lastPrinted>2021-05-17T01:29:00Z</cp:lastPrinted>
  <dcterms:modified xsi:type="dcterms:W3CDTF">2025-09-22T00:44:57Z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eyJoZGlkIjoiZDZhOTYyZjQxNDI2OGRmNzdmMzZkMjhmZDNlOTk3MTciLCJ1c2VySWQiOiIyODMwOTUwMzkifQ==</vt:lpwstr>
  </property>
  <property fmtid="{D5CDD505-2E9C-101B-9397-08002B2CF9AE}" pid="4" name="ICV">
    <vt:lpwstr>9E51A311C3584E67957537ED28BB2712_13</vt:lpwstr>
  </property>
</Properties>
</file>